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1D86A71D"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FB6999">
        <w:rPr>
          <w:color w:val="000000" w:themeColor="text1"/>
          <w:sz w:val="44"/>
          <w:szCs w:val="44"/>
        </w:rPr>
        <w:t>2.</w:t>
      </w:r>
      <w:r w:rsidR="0099041D">
        <w:rPr>
          <w:color w:val="000000" w:themeColor="text1"/>
          <w:sz w:val="44"/>
          <w:szCs w:val="44"/>
        </w:rPr>
        <w:t>5</w:t>
      </w:r>
      <w:r w:rsidR="008D5C7D" w:rsidRPr="007D7D01">
        <w:rPr>
          <w:color w:val="000000" w:themeColor="text1"/>
          <w:sz w:val="44"/>
          <w:szCs w:val="44"/>
        </w:rPr>
        <w:t xml:space="preserve">  </w:t>
      </w:r>
      <w:r w:rsidR="0099041D">
        <w:rPr>
          <w:rFonts w:hint="eastAsia"/>
          <w:color w:val="000000" w:themeColor="text1"/>
          <w:sz w:val="44"/>
          <w:szCs w:val="44"/>
        </w:rPr>
        <w:t>金融</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0C887B49"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金融服务，是指经营金融保险的业务活动。包括贷款服务、直接收费金融服务、保险服务和金融商品转让。</w:t>
      </w:r>
    </w:p>
    <w:p w14:paraId="6AEE5205" w14:textId="4136B2CD"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6"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w:t>
      </w:r>
    </w:p>
    <w:p w14:paraId="53CD73FD" w14:textId="77777777" w:rsidR="0099041D" w:rsidRPr="0099041D" w:rsidRDefault="0099041D" w:rsidP="0099041D">
      <w:pPr>
        <w:pStyle w:val="1"/>
        <w:spacing w:before="50" w:after="0" w:line="480" w:lineRule="atLeast"/>
        <w:rPr>
          <w:sz w:val="24"/>
          <w:szCs w:val="24"/>
        </w:rPr>
      </w:pPr>
      <w:bookmarkStart w:id="0" w:name="_Toc12894261"/>
      <w:r w:rsidRPr="0099041D">
        <w:rPr>
          <w:rFonts w:hint="eastAsia"/>
          <w:sz w:val="24"/>
          <w:szCs w:val="24"/>
        </w:rPr>
        <w:t>一、</w:t>
      </w:r>
      <w:r w:rsidRPr="0099041D">
        <w:rPr>
          <w:sz w:val="24"/>
          <w:szCs w:val="24"/>
        </w:rPr>
        <w:t>贷款服务。</w:t>
      </w:r>
      <w:bookmarkEnd w:id="0"/>
    </w:p>
    <w:p w14:paraId="0BE79997"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贷款，是指将资金贷与他人使用而取得利息收入的业务活动。</w:t>
      </w:r>
    </w:p>
    <w:p w14:paraId="4EFBDFD1" w14:textId="5181D0B0"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 w:name="_Hlk7680530"/>
      <w:r w:rsidRPr="0099041D">
        <w:rPr>
          <w:rFonts w:asciiTheme="minorEastAsia" w:hAnsiTheme="minorEastAsia" w:cs="宋体" w:hint="eastAsia"/>
          <w:color w:val="000000" w:themeColor="text1"/>
          <w:kern w:val="0"/>
          <w:sz w:val="24"/>
          <w:szCs w:val="24"/>
        </w:rPr>
        <w:t>（</w:t>
      </w:r>
      <w:hyperlink r:id="rId7"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附件第一条第五款第一项）</w:t>
      </w:r>
    </w:p>
    <w:p w14:paraId="2FC623FA" w14:textId="77777777" w:rsidR="0099041D" w:rsidRPr="0099041D" w:rsidRDefault="0099041D" w:rsidP="0099041D">
      <w:pPr>
        <w:pStyle w:val="2"/>
        <w:spacing w:before="50" w:after="0" w:line="480" w:lineRule="atLeast"/>
        <w:rPr>
          <w:sz w:val="24"/>
          <w:szCs w:val="24"/>
        </w:rPr>
      </w:pPr>
      <w:bookmarkStart w:id="2" w:name="_Toc12894262"/>
      <w:bookmarkEnd w:id="1"/>
      <w:r w:rsidRPr="0099041D">
        <w:rPr>
          <w:rFonts w:hint="eastAsia"/>
          <w:sz w:val="24"/>
          <w:szCs w:val="24"/>
        </w:rPr>
        <w:t>附注（一）：</w:t>
      </w:r>
      <w:r w:rsidRPr="0099041D">
        <w:rPr>
          <w:sz w:val="24"/>
          <w:szCs w:val="24"/>
        </w:rPr>
        <w:t>各种占用、拆借资金取得的收入</w:t>
      </w:r>
    </w:p>
    <w:p w14:paraId="5F5EF97F"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包括金融商品</w:t>
      </w:r>
      <w:r w:rsidRPr="0099041D">
        <w:rPr>
          <w:rFonts w:asciiTheme="minorEastAsia" w:hAnsiTheme="minorEastAsia" w:cs="宋体"/>
          <w:color w:val="000000" w:themeColor="text1"/>
          <w:kern w:val="0"/>
          <w:sz w:val="24"/>
          <w:szCs w:val="24"/>
        </w:rPr>
        <w:footnoteReference w:id="1"/>
      </w:r>
      <w:r w:rsidRPr="0099041D">
        <w:rPr>
          <w:rFonts w:asciiTheme="minorEastAsia" w:hAnsiTheme="minorEastAsia" w:cs="宋体"/>
          <w:color w:val="000000" w:themeColor="text1"/>
          <w:kern w:val="0"/>
          <w:sz w:val="24"/>
          <w:szCs w:val="24"/>
        </w:rPr>
        <w:t>持有期间(含到期)利息(保本收益、报酬、资金占用费、补偿金等)收入、信用卡透支利息收入、买入返售金融商品利息收入、融资融券收取的利息收入，以及融资性售后回租、押汇</w:t>
      </w:r>
      <w:r w:rsidRPr="0099041D">
        <w:rPr>
          <w:rFonts w:asciiTheme="minorEastAsia" w:hAnsiTheme="minorEastAsia" w:cs="宋体"/>
          <w:color w:val="000000" w:themeColor="text1"/>
          <w:kern w:val="0"/>
          <w:sz w:val="24"/>
          <w:szCs w:val="24"/>
        </w:rPr>
        <w:footnoteReference w:id="2"/>
      </w:r>
      <w:r w:rsidRPr="0099041D">
        <w:rPr>
          <w:rFonts w:asciiTheme="minorEastAsia" w:hAnsiTheme="minorEastAsia" w:cs="宋体"/>
          <w:color w:val="000000" w:themeColor="text1"/>
          <w:kern w:val="0"/>
          <w:sz w:val="24"/>
          <w:szCs w:val="24"/>
        </w:rPr>
        <w:t>、罚息、票据贴现、转贷等业务取得的利息及利息性质的收入，按照贷款服务缴纳增值税。</w:t>
      </w:r>
      <w:bookmarkEnd w:id="2"/>
    </w:p>
    <w:p w14:paraId="59966882" w14:textId="6F6A38CD"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8"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附件第一条第五款第一项第一目）</w:t>
      </w:r>
    </w:p>
    <w:p w14:paraId="7A34283A" w14:textId="77777777" w:rsidR="0099041D" w:rsidRPr="0099041D" w:rsidRDefault="0099041D" w:rsidP="0099041D">
      <w:pPr>
        <w:pStyle w:val="3"/>
        <w:spacing w:before="50" w:after="0" w:line="480" w:lineRule="atLeast"/>
        <w:rPr>
          <w:sz w:val="24"/>
          <w:szCs w:val="24"/>
        </w:rPr>
      </w:pPr>
      <w:r w:rsidRPr="0099041D">
        <w:rPr>
          <w:rFonts w:hint="eastAsia"/>
          <w:sz w:val="24"/>
          <w:szCs w:val="24"/>
        </w:rPr>
        <w:t>1</w:t>
      </w:r>
      <w:r w:rsidRPr="0099041D">
        <w:rPr>
          <w:sz w:val="24"/>
          <w:szCs w:val="24"/>
        </w:rPr>
        <w:t>.</w:t>
      </w:r>
      <w:r w:rsidRPr="0099041D">
        <w:rPr>
          <w:sz w:val="24"/>
          <w:szCs w:val="24"/>
        </w:rPr>
        <w:t>融资性售后回租</w:t>
      </w:r>
    </w:p>
    <w:p w14:paraId="3DF83394"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是指承租方以融资为目的，将资产出售给从事融资性售后回租业务的企业后，从事融资性售后回租业务的企业将该资产出租给承租方的业务活动。</w:t>
      </w:r>
    </w:p>
    <w:p w14:paraId="75DF8E01" w14:textId="77777777" w:rsidR="0099041D" w:rsidRPr="0099041D" w:rsidRDefault="0099041D" w:rsidP="0099041D">
      <w:pPr>
        <w:pStyle w:val="1"/>
        <w:spacing w:before="50" w:after="0" w:line="480" w:lineRule="atLeast"/>
        <w:rPr>
          <w:sz w:val="24"/>
          <w:szCs w:val="24"/>
        </w:rPr>
      </w:pPr>
      <w:bookmarkStart w:id="3" w:name="_Hlk9319094"/>
      <w:r w:rsidRPr="0099041D">
        <w:rPr>
          <w:rFonts w:hint="eastAsia"/>
          <w:sz w:val="24"/>
          <w:szCs w:val="24"/>
        </w:rPr>
        <w:t>2</w:t>
      </w:r>
      <w:r w:rsidRPr="0099041D">
        <w:rPr>
          <w:sz w:val="24"/>
          <w:szCs w:val="24"/>
        </w:rPr>
        <w:t>.</w:t>
      </w:r>
      <w:r w:rsidRPr="0099041D">
        <w:rPr>
          <w:rFonts w:hint="eastAsia"/>
          <w:sz w:val="24"/>
          <w:szCs w:val="24"/>
        </w:rPr>
        <w:t>保本收益、报酬、资金占用费、补偿金</w:t>
      </w:r>
    </w:p>
    <w:p w14:paraId="1C57A304" w14:textId="77777777" w:rsidR="0099041D" w:rsidRPr="0099041D" w:rsidRDefault="0099041D" w:rsidP="0099041D">
      <w:pPr>
        <w:widowControl/>
        <w:shd w:val="clear" w:color="auto" w:fill="FFFFFF"/>
        <w:spacing w:before="50"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9" w:history="1">
        <w:r w:rsidRPr="0099041D">
          <w:rPr>
            <w:rStyle w:val="a4"/>
            <w:rFonts w:asciiTheme="minorEastAsia" w:hAnsiTheme="minorEastAsia" w:cs="宋体" w:hint="eastAsia"/>
            <w:color w:val="000000" w:themeColor="text1"/>
            <w:kern w:val="0"/>
            <w:sz w:val="24"/>
            <w:szCs w:val="24"/>
          </w:rPr>
          <w:t>销售服务、无形资产、不动产注释》（</w:t>
        </w:r>
      </w:hyperlink>
      <w:hyperlink r:id="rId10" w:history="1">
        <w:r w:rsidRPr="0099041D">
          <w:rPr>
            <w:rFonts w:asciiTheme="minorEastAsia" w:hAnsiTheme="minorEastAsia" w:cs="宋体" w:hint="eastAsia"/>
            <w:color w:val="000000" w:themeColor="text1"/>
            <w:kern w:val="0"/>
            <w:sz w:val="24"/>
            <w:szCs w:val="24"/>
            <w:u w:val="single"/>
          </w:rPr>
          <w:t>财税〔2016〕36号</w:t>
        </w:r>
      </w:hyperlink>
      <w:r w:rsidRPr="0099041D">
        <w:rPr>
          <w:rFonts w:asciiTheme="minorEastAsia" w:hAnsiTheme="minorEastAsia" w:cs="宋体" w:hint="eastAsia"/>
          <w:color w:val="000000" w:themeColor="text1"/>
          <w:kern w:val="0"/>
          <w:sz w:val="24"/>
          <w:szCs w:val="24"/>
        </w:rPr>
        <w:t>）第一条第（五）项第1点所称“保本收益、报酬、资金占用费、补偿金”，是指合同中明确承诺</w:t>
      </w:r>
      <w:r w:rsidRPr="0099041D">
        <w:rPr>
          <w:rFonts w:asciiTheme="minorEastAsia" w:hAnsiTheme="minorEastAsia" w:cs="宋体" w:hint="eastAsia"/>
          <w:color w:val="000000" w:themeColor="text1"/>
          <w:kern w:val="0"/>
          <w:sz w:val="24"/>
          <w:szCs w:val="24"/>
        </w:rPr>
        <w:lastRenderedPageBreak/>
        <w:t>到期本金可全部收回的投资收益。</w:t>
      </w:r>
      <w:bookmarkStart w:id="4" w:name="_Hlk38131211"/>
      <w:r w:rsidRPr="0099041D">
        <w:rPr>
          <w:rFonts w:asciiTheme="minorEastAsia" w:hAnsiTheme="minorEastAsia" w:cs="宋体" w:hint="eastAsia"/>
          <w:color w:val="000000" w:themeColor="text1"/>
          <w:kern w:val="0"/>
          <w:sz w:val="24"/>
          <w:szCs w:val="24"/>
        </w:rPr>
        <w:t>金融商品持有期间（含到期）取得的</w:t>
      </w:r>
      <w:r w:rsidRPr="0099041D">
        <w:rPr>
          <w:rFonts w:asciiTheme="minorEastAsia" w:hAnsiTheme="minorEastAsia" w:cs="宋体" w:hint="eastAsia"/>
          <w:b/>
          <w:color w:val="000000" w:themeColor="text1"/>
          <w:kern w:val="0"/>
          <w:sz w:val="24"/>
          <w:szCs w:val="24"/>
        </w:rPr>
        <w:t>非保本的上述收益</w:t>
      </w:r>
      <w:r w:rsidRPr="0099041D">
        <w:rPr>
          <w:rFonts w:asciiTheme="minorEastAsia" w:hAnsiTheme="minorEastAsia" w:cs="宋体" w:hint="eastAsia"/>
          <w:color w:val="000000" w:themeColor="text1"/>
          <w:kern w:val="0"/>
          <w:sz w:val="24"/>
          <w:szCs w:val="24"/>
        </w:rPr>
        <w:t>,不属于利息或利息性质的收入，</w:t>
      </w:r>
      <w:r w:rsidRPr="0099041D">
        <w:rPr>
          <w:rFonts w:asciiTheme="minorEastAsia" w:hAnsiTheme="minorEastAsia" w:cs="宋体" w:hint="eastAsia"/>
          <w:b/>
          <w:color w:val="000000" w:themeColor="text1"/>
          <w:kern w:val="0"/>
          <w:sz w:val="24"/>
          <w:szCs w:val="24"/>
        </w:rPr>
        <w:t>不征收增值税</w:t>
      </w:r>
      <w:r w:rsidRPr="0099041D">
        <w:rPr>
          <w:rFonts w:asciiTheme="minorEastAsia" w:hAnsiTheme="minorEastAsia" w:cs="宋体" w:hint="eastAsia"/>
          <w:color w:val="000000" w:themeColor="text1"/>
          <w:kern w:val="0"/>
          <w:sz w:val="24"/>
          <w:szCs w:val="24"/>
        </w:rPr>
        <w:t>。</w:t>
      </w:r>
    </w:p>
    <w:p w14:paraId="6915A498" w14:textId="77777777" w:rsidR="0099041D" w:rsidRPr="0099041D" w:rsidRDefault="0099041D" w:rsidP="0099041D">
      <w:pPr>
        <w:spacing w:before="50" w:line="480" w:lineRule="atLeast"/>
        <w:jc w:val="right"/>
        <w:rPr>
          <w:rFonts w:asciiTheme="minorEastAsia" w:hAnsiTheme="minorEastAsia" w:cs="宋体"/>
          <w:color w:val="000000" w:themeColor="text1"/>
          <w:kern w:val="0"/>
          <w:sz w:val="24"/>
          <w:szCs w:val="24"/>
        </w:rPr>
      </w:pPr>
      <w:r w:rsidRPr="0099041D">
        <w:rPr>
          <w:rFonts w:asciiTheme="minorEastAsia" w:hAnsiTheme="minorEastAsia" w:hint="eastAsia"/>
          <w:color w:val="000000" w:themeColor="text1"/>
          <w:sz w:val="24"/>
          <w:szCs w:val="24"/>
          <w:shd w:val="clear" w:color="auto" w:fill="FFFFFF"/>
        </w:rPr>
        <w:t>（</w:t>
      </w:r>
      <w:hyperlink r:id="rId11" w:history="1">
        <w:r w:rsidRPr="0099041D">
          <w:rPr>
            <w:rStyle w:val="a4"/>
            <w:rFonts w:asciiTheme="minorEastAsia" w:hAnsiTheme="minorEastAsia" w:hint="eastAsia"/>
            <w:color w:val="000000" w:themeColor="text1"/>
            <w:sz w:val="24"/>
            <w:szCs w:val="24"/>
            <w:shd w:val="clear" w:color="auto" w:fill="FFFFFF"/>
          </w:rPr>
          <w:t>财税[2016]140号</w:t>
        </w:r>
      </w:hyperlink>
      <w:r w:rsidRPr="0099041D">
        <w:rPr>
          <w:rFonts w:asciiTheme="minorEastAsia" w:hAnsiTheme="minorEastAsia" w:hint="eastAsia"/>
          <w:color w:val="000000" w:themeColor="text1"/>
          <w:sz w:val="24"/>
          <w:szCs w:val="24"/>
          <w:shd w:val="clear" w:color="auto" w:fill="FFFFFF"/>
        </w:rPr>
        <w:t>第一条）</w:t>
      </w:r>
    </w:p>
    <w:p w14:paraId="7E585ABE" w14:textId="77777777" w:rsidR="0099041D" w:rsidRPr="0099041D" w:rsidRDefault="0099041D" w:rsidP="0099041D">
      <w:pPr>
        <w:pStyle w:val="2"/>
        <w:spacing w:before="50" w:after="0" w:line="480" w:lineRule="atLeast"/>
        <w:rPr>
          <w:sz w:val="24"/>
          <w:szCs w:val="24"/>
        </w:rPr>
      </w:pPr>
      <w:bookmarkStart w:id="5" w:name="_Toc12894263"/>
      <w:bookmarkStart w:id="6" w:name="_Hlk11963464"/>
      <w:bookmarkEnd w:id="3"/>
      <w:bookmarkEnd w:id="4"/>
      <w:r w:rsidRPr="0099041D">
        <w:rPr>
          <w:rFonts w:hint="eastAsia"/>
          <w:sz w:val="24"/>
          <w:szCs w:val="24"/>
        </w:rPr>
        <w:t>附注（二）：货币投资收取的固定利润或保底利润</w:t>
      </w:r>
    </w:p>
    <w:p w14:paraId="1E9E3113" w14:textId="77777777" w:rsidR="0099041D" w:rsidRPr="0099041D" w:rsidRDefault="0099041D" w:rsidP="0099041D">
      <w:pPr>
        <w:widowControl/>
        <w:shd w:val="clear" w:color="auto" w:fill="FFFFFF"/>
        <w:spacing w:before="50"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以货币资金投资收取的固定利润或者保底利润，按照贷款服务缴纳增值税。</w:t>
      </w:r>
      <w:bookmarkEnd w:id="5"/>
    </w:p>
    <w:p w14:paraId="35CD57BB" w14:textId="3B0F1AF4"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12"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附件第一条第五款第一项第二目）</w:t>
      </w:r>
    </w:p>
    <w:p w14:paraId="21AB72C2" w14:textId="77777777" w:rsidR="0099041D" w:rsidRPr="0099041D" w:rsidRDefault="0099041D" w:rsidP="0099041D">
      <w:pPr>
        <w:pStyle w:val="1"/>
        <w:spacing w:before="50" w:after="0" w:line="480" w:lineRule="atLeast"/>
        <w:rPr>
          <w:sz w:val="24"/>
          <w:szCs w:val="24"/>
        </w:rPr>
      </w:pPr>
      <w:bookmarkStart w:id="7" w:name="_Toc12894264"/>
      <w:bookmarkEnd w:id="6"/>
      <w:r w:rsidRPr="0099041D">
        <w:rPr>
          <w:rFonts w:hint="eastAsia"/>
          <w:sz w:val="24"/>
          <w:szCs w:val="24"/>
        </w:rPr>
        <w:t>二、</w:t>
      </w:r>
      <w:r w:rsidRPr="0099041D">
        <w:rPr>
          <w:sz w:val="24"/>
          <w:szCs w:val="24"/>
        </w:rPr>
        <w:t>直接收费金融服务。</w:t>
      </w:r>
      <w:bookmarkEnd w:id="7"/>
    </w:p>
    <w:p w14:paraId="495E3D70"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直接收费金融服务，是指为货币资金融通及其他金融业务提供相关服务并且收取费用的业务活动。包括提供货币兑换、账户管理、电子银行、信用卡、信用证、财务担保、资产管理</w:t>
      </w:r>
      <w:r w:rsidRPr="0099041D">
        <w:rPr>
          <w:rFonts w:asciiTheme="minorEastAsia" w:hAnsiTheme="minorEastAsia" w:cs="宋体"/>
          <w:color w:val="000000" w:themeColor="text1"/>
          <w:kern w:val="0"/>
          <w:sz w:val="24"/>
          <w:szCs w:val="24"/>
          <w:vertAlign w:val="superscript"/>
        </w:rPr>
        <w:footnoteReference w:id="3"/>
      </w:r>
      <w:r w:rsidRPr="0099041D">
        <w:rPr>
          <w:rFonts w:asciiTheme="minorEastAsia" w:hAnsiTheme="minorEastAsia" w:cs="宋体"/>
          <w:color w:val="000000" w:themeColor="text1"/>
          <w:kern w:val="0"/>
          <w:sz w:val="24"/>
          <w:szCs w:val="24"/>
        </w:rPr>
        <w:t>、信托管理、基金管理、金融交易场所(平台)管理、资金结算、资金清算、金融支付等服务。</w:t>
      </w:r>
    </w:p>
    <w:p w14:paraId="3F67DE09" w14:textId="434109B9"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13"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附件第一条第五款第二项）</w:t>
      </w:r>
    </w:p>
    <w:p w14:paraId="0EBDCBC6" w14:textId="77777777" w:rsidR="0099041D" w:rsidRPr="0099041D" w:rsidRDefault="0099041D" w:rsidP="0099041D">
      <w:pPr>
        <w:pStyle w:val="1"/>
        <w:spacing w:before="50" w:after="0" w:line="480" w:lineRule="atLeast"/>
        <w:rPr>
          <w:sz w:val="24"/>
          <w:szCs w:val="24"/>
        </w:rPr>
      </w:pPr>
      <w:bookmarkStart w:id="8" w:name="_Toc12894265"/>
      <w:r w:rsidRPr="0099041D">
        <w:rPr>
          <w:rFonts w:hint="eastAsia"/>
          <w:sz w:val="24"/>
          <w:szCs w:val="24"/>
        </w:rPr>
        <w:t>三、</w:t>
      </w:r>
      <w:r w:rsidRPr="0099041D">
        <w:rPr>
          <w:sz w:val="24"/>
          <w:szCs w:val="24"/>
        </w:rPr>
        <w:t>保险服务。</w:t>
      </w:r>
      <w:bookmarkEnd w:id="8"/>
    </w:p>
    <w:p w14:paraId="223F2FDE"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14:paraId="6D1C0F51" w14:textId="49AFF975"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9" w:name="_Hlk7682628"/>
      <w:r w:rsidRPr="0099041D">
        <w:rPr>
          <w:rFonts w:asciiTheme="minorEastAsia" w:hAnsiTheme="minorEastAsia" w:cs="宋体" w:hint="eastAsia"/>
          <w:color w:val="000000" w:themeColor="text1"/>
          <w:kern w:val="0"/>
          <w:sz w:val="24"/>
          <w:szCs w:val="24"/>
        </w:rPr>
        <w:t>（</w:t>
      </w:r>
      <w:hyperlink r:id="rId14"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附件第一条第五款第三项）</w:t>
      </w:r>
    </w:p>
    <w:p w14:paraId="6884950D" w14:textId="77777777" w:rsidR="0099041D" w:rsidRPr="0099041D" w:rsidRDefault="0099041D" w:rsidP="0099041D">
      <w:pPr>
        <w:pStyle w:val="2"/>
        <w:spacing w:before="50" w:after="0" w:line="480" w:lineRule="atLeast"/>
        <w:rPr>
          <w:sz w:val="24"/>
          <w:szCs w:val="24"/>
        </w:rPr>
      </w:pPr>
      <w:bookmarkStart w:id="10" w:name="_Toc12894266"/>
      <w:bookmarkEnd w:id="9"/>
      <w:r w:rsidRPr="0099041D">
        <w:rPr>
          <w:rFonts w:hint="eastAsia"/>
          <w:sz w:val="24"/>
          <w:szCs w:val="24"/>
        </w:rPr>
        <w:t>（一）</w:t>
      </w:r>
      <w:r w:rsidRPr="0099041D">
        <w:rPr>
          <w:sz w:val="24"/>
          <w:szCs w:val="24"/>
        </w:rPr>
        <w:t>人身保险服务</w:t>
      </w:r>
      <w:bookmarkEnd w:id="10"/>
    </w:p>
    <w:p w14:paraId="41571307"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指以人的寿命和身体为保险标的的保险业务活动。</w:t>
      </w:r>
    </w:p>
    <w:p w14:paraId="4481BE52" w14:textId="3779259C"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1" w:name="_Hlk7682643"/>
      <w:r w:rsidRPr="0099041D">
        <w:rPr>
          <w:rFonts w:asciiTheme="minorEastAsia" w:hAnsiTheme="minorEastAsia" w:cs="宋体" w:hint="eastAsia"/>
          <w:color w:val="000000" w:themeColor="text1"/>
          <w:kern w:val="0"/>
          <w:sz w:val="24"/>
          <w:szCs w:val="24"/>
        </w:rPr>
        <w:t>（</w:t>
      </w:r>
      <w:hyperlink r:id="rId15"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附件第一条第五款第三项第一目）</w:t>
      </w:r>
    </w:p>
    <w:p w14:paraId="406F3445" w14:textId="77777777" w:rsidR="0099041D" w:rsidRPr="0099041D" w:rsidRDefault="0099041D" w:rsidP="0099041D">
      <w:pPr>
        <w:pStyle w:val="2"/>
        <w:spacing w:before="50" w:after="0" w:line="480" w:lineRule="atLeast"/>
        <w:rPr>
          <w:sz w:val="24"/>
          <w:szCs w:val="24"/>
        </w:rPr>
      </w:pPr>
      <w:bookmarkStart w:id="12" w:name="_Toc12894267"/>
      <w:bookmarkEnd w:id="11"/>
      <w:r w:rsidRPr="0099041D">
        <w:rPr>
          <w:rFonts w:hint="eastAsia"/>
          <w:sz w:val="24"/>
          <w:szCs w:val="24"/>
        </w:rPr>
        <w:t>（二）</w:t>
      </w:r>
      <w:r w:rsidRPr="0099041D">
        <w:rPr>
          <w:sz w:val="24"/>
          <w:szCs w:val="24"/>
        </w:rPr>
        <w:t>财产保险服务</w:t>
      </w:r>
      <w:bookmarkEnd w:id="12"/>
    </w:p>
    <w:p w14:paraId="053504CD"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指以财产及其有关利益为保险标的的保险业务活动。</w:t>
      </w:r>
    </w:p>
    <w:p w14:paraId="5E05D5C2" w14:textId="2EE81976"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lastRenderedPageBreak/>
        <w:t>（</w:t>
      </w:r>
      <w:hyperlink r:id="rId16"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附件第一条第五款第三项第二目）</w:t>
      </w:r>
    </w:p>
    <w:p w14:paraId="20E6508A" w14:textId="77777777" w:rsidR="0099041D" w:rsidRPr="0099041D" w:rsidRDefault="0099041D" w:rsidP="0099041D">
      <w:pPr>
        <w:pStyle w:val="1"/>
        <w:spacing w:before="50" w:after="0" w:line="480" w:lineRule="atLeast"/>
        <w:rPr>
          <w:sz w:val="24"/>
          <w:szCs w:val="24"/>
        </w:rPr>
      </w:pPr>
      <w:bookmarkStart w:id="13" w:name="_Toc12894268"/>
      <w:r w:rsidRPr="0099041D">
        <w:rPr>
          <w:rFonts w:hint="eastAsia"/>
          <w:sz w:val="24"/>
          <w:szCs w:val="24"/>
        </w:rPr>
        <w:t>四、</w:t>
      </w:r>
      <w:r w:rsidRPr="0099041D">
        <w:rPr>
          <w:sz w:val="24"/>
          <w:szCs w:val="24"/>
        </w:rPr>
        <w:t>金融商品转让。</w:t>
      </w:r>
      <w:bookmarkEnd w:id="13"/>
    </w:p>
    <w:p w14:paraId="3EAC8889"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金融商品转让，是指转让外汇、有价证券、非货物期货和其他金融商品所有权的业务活动。</w:t>
      </w:r>
    </w:p>
    <w:p w14:paraId="7BFED7C4" w14:textId="7EE460A2"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17"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附件第一条第五款第四项第一目）</w:t>
      </w:r>
    </w:p>
    <w:p w14:paraId="7AA87EE6" w14:textId="77777777" w:rsidR="0099041D" w:rsidRPr="0099041D" w:rsidRDefault="0099041D" w:rsidP="0099041D">
      <w:pPr>
        <w:pStyle w:val="2"/>
        <w:spacing w:before="50" w:after="0" w:line="480" w:lineRule="atLeast"/>
        <w:rPr>
          <w:sz w:val="24"/>
          <w:szCs w:val="24"/>
        </w:rPr>
      </w:pPr>
      <w:r w:rsidRPr="0099041D">
        <w:rPr>
          <w:rFonts w:hint="eastAsia"/>
          <w:sz w:val="24"/>
          <w:szCs w:val="24"/>
        </w:rPr>
        <w:t>附注（一）：</w:t>
      </w:r>
      <w:r w:rsidRPr="0099041D">
        <w:rPr>
          <w:sz w:val="24"/>
          <w:szCs w:val="24"/>
        </w:rPr>
        <w:t>其他金融商品转让</w:t>
      </w:r>
    </w:p>
    <w:p w14:paraId="2D1931C5" w14:textId="77777777" w:rsidR="0099041D" w:rsidRPr="0099041D" w:rsidRDefault="0099041D" w:rsidP="009904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color w:val="000000" w:themeColor="text1"/>
          <w:kern w:val="0"/>
          <w:sz w:val="24"/>
          <w:szCs w:val="24"/>
        </w:rPr>
        <w:t>包括基金、信托、理财产品等各类资产管理产品和各种金融衍生品的转让。</w:t>
      </w:r>
    </w:p>
    <w:p w14:paraId="3A9721EB" w14:textId="3206A491" w:rsidR="0099041D" w:rsidRPr="0099041D" w:rsidRDefault="0099041D" w:rsidP="0099041D">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w:t>
      </w:r>
      <w:hyperlink r:id="rId18" w:history="1">
        <w:r w:rsidR="00E17091">
          <w:rPr>
            <w:rStyle w:val="a4"/>
            <w:rFonts w:ascii="宋体" w:eastAsia="宋体" w:hAnsi="宋体" w:cs="宋体" w:hint="eastAsia"/>
            <w:kern w:val="0"/>
            <w:sz w:val="24"/>
            <w:szCs w:val="24"/>
          </w:rPr>
          <w:t>财税[2016]36号附件1</w:t>
        </w:r>
      </w:hyperlink>
      <w:r w:rsidRPr="0099041D">
        <w:rPr>
          <w:rFonts w:asciiTheme="minorEastAsia" w:hAnsiTheme="minorEastAsia" w:cs="宋体" w:hint="eastAsia"/>
          <w:color w:val="000000" w:themeColor="text1"/>
          <w:kern w:val="0"/>
          <w:sz w:val="24"/>
          <w:szCs w:val="24"/>
        </w:rPr>
        <w:t>附件第一条第五款第四项第二目）</w:t>
      </w:r>
    </w:p>
    <w:p w14:paraId="52FCF58F" w14:textId="42F9DDAC" w:rsidR="0099041D" w:rsidRPr="0099041D" w:rsidRDefault="0099041D" w:rsidP="0099041D">
      <w:pPr>
        <w:widowControl/>
        <w:shd w:val="clear" w:color="auto" w:fill="FFFFFF"/>
        <w:spacing w:before="50" w:line="480" w:lineRule="atLeast"/>
        <w:ind w:firstLineChars="200" w:firstLine="480"/>
        <w:jc w:val="left"/>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纳税人购入基金、信托、理财产品等各类资产管理产品持有至到期，不属于</w:t>
      </w:r>
      <w:r w:rsidR="00C63B91" w:rsidRPr="00C63B91">
        <w:rPr>
          <w:rFonts w:hint="eastAsia"/>
          <w:color w:val="333333"/>
          <w:sz w:val="24"/>
          <w:szCs w:val="24"/>
          <w:shd w:val="clear" w:color="auto" w:fill="FFFFFF"/>
        </w:rPr>
        <w:t>《销售服务、无形资产、不动产注释》（</w:t>
      </w:r>
      <w:hyperlink r:id="rId19" w:tgtFrame="_self" w:history="1">
        <w:r w:rsidR="00C63B91" w:rsidRPr="00C63B91">
          <w:rPr>
            <w:rFonts w:hint="eastAsia"/>
            <w:color w:val="6E6E6E"/>
            <w:sz w:val="24"/>
            <w:szCs w:val="24"/>
            <w:u w:val="single"/>
            <w:shd w:val="clear" w:color="auto" w:fill="FFFFFF"/>
          </w:rPr>
          <w:t>财税〔</w:t>
        </w:r>
        <w:r w:rsidR="00C63B91" w:rsidRPr="00C63B91">
          <w:rPr>
            <w:rFonts w:hint="eastAsia"/>
            <w:color w:val="6E6E6E"/>
            <w:sz w:val="24"/>
            <w:szCs w:val="24"/>
            <w:u w:val="single"/>
            <w:shd w:val="clear" w:color="auto" w:fill="FFFFFF"/>
          </w:rPr>
          <w:t>2016</w:t>
        </w:r>
        <w:r w:rsidR="00C63B91" w:rsidRPr="00C63B91">
          <w:rPr>
            <w:rFonts w:hint="eastAsia"/>
            <w:color w:val="6E6E6E"/>
            <w:sz w:val="24"/>
            <w:szCs w:val="24"/>
            <w:u w:val="single"/>
            <w:shd w:val="clear" w:color="auto" w:fill="FFFFFF"/>
          </w:rPr>
          <w:t>〕</w:t>
        </w:r>
        <w:r w:rsidR="00C63B91" w:rsidRPr="00C63B91">
          <w:rPr>
            <w:rFonts w:hint="eastAsia"/>
            <w:color w:val="6E6E6E"/>
            <w:sz w:val="24"/>
            <w:szCs w:val="24"/>
            <w:u w:val="single"/>
            <w:shd w:val="clear" w:color="auto" w:fill="FFFFFF"/>
          </w:rPr>
          <w:t>36</w:t>
        </w:r>
        <w:r w:rsidR="00C63B91" w:rsidRPr="00C63B91">
          <w:rPr>
            <w:rFonts w:hint="eastAsia"/>
            <w:color w:val="6E6E6E"/>
            <w:sz w:val="24"/>
            <w:szCs w:val="24"/>
            <w:u w:val="single"/>
            <w:shd w:val="clear" w:color="auto" w:fill="FFFFFF"/>
          </w:rPr>
          <w:t>号</w:t>
        </w:r>
      </w:hyperlink>
      <w:r w:rsidR="00C63B91" w:rsidRPr="00C63B91">
        <w:rPr>
          <w:rFonts w:hint="eastAsia"/>
          <w:color w:val="333333"/>
          <w:sz w:val="24"/>
          <w:szCs w:val="24"/>
          <w:shd w:val="clear" w:color="auto" w:fill="FFFFFF"/>
        </w:rPr>
        <w:t>）</w:t>
      </w:r>
      <w:r w:rsidRPr="00C63B91">
        <w:rPr>
          <w:rFonts w:asciiTheme="minorEastAsia" w:hAnsiTheme="minorEastAsia" w:cs="宋体" w:hint="eastAsia"/>
          <w:color w:val="000000" w:themeColor="text1"/>
          <w:kern w:val="0"/>
          <w:sz w:val="24"/>
          <w:szCs w:val="24"/>
        </w:rPr>
        <w:t>第一</w:t>
      </w:r>
      <w:r w:rsidRPr="0099041D">
        <w:rPr>
          <w:rFonts w:asciiTheme="minorEastAsia" w:hAnsiTheme="minorEastAsia" w:cs="宋体" w:hint="eastAsia"/>
          <w:color w:val="000000" w:themeColor="text1"/>
          <w:kern w:val="0"/>
          <w:sz w:val="24"/>
          <w:szCs w:val="24"/>
        </w:rPr>
        <w:t>条第（五）项第4点所称的金融商品转让。</w:t>
      </w:r>
    </w:p>
    <w:p w14:paraId="41CE7D3F" w14:textId="081B1722" w:rsidR="0099041D" w:rsidRPr="0099041D" w:rsidRDefault="0099041D" w:rsidP="00C63B91">
      <w:pPr>
        <w:spacing w:before="50" w:line="480" w:lineRule="atLeast"/>
        <w:jc w:val="right"/>
        <w:rPr>
          <w:rFonts w:asciiTheme="minorEastAsia" w:hAnsiTheme="minorEastAsia" w:cs="宋体"/>
          <w:color w:val="000000" w:themeColor="text1"/>
          <w:kern w:val="0"/>
          <w:sz w:val="24"/>
          <w:szCs w:val="24"/>
        </w:rPr>
      </w:pPr>
      <w:r w:rsidRPr="0099041D">
        <w:rPr>
          <w:rFonts w:asciiTheme="minorEastAsia" w:hAnsiTheme="minorEastAsia" w:hint="eastAsia"/>
          <w:color w:val="000000" w:themeColor="text1"/>
          <w:sz w:val="24"/>
          <w:szCs w:val="24"/>
          <w:shd w:val="clear" w:color="auto" w:fill="FFFFFF"/>
        </w:rPr>
        <w:t>（</w:t>
      </w:r>
      <w:hyperlink r:id="rId20" w:history="1">
        <w:r w:rsidRPr="00C63B91">
          <w:rPr>
            <w:rStyle w:val="a4"/>
            <w:rFonts w:asciiTheme="minorEastAsia" w:hAnsiTheme="minorEastAsia" w:hint="eastAsia"/>
            <w:sz w:val="24"/>
            <w:szCs w:val="24"/>
            <w:shd w:val="clear" w:color="auto" w:fill="FFFFFF"/>
          </w:rPr>
          <w:t>财税[2016]140号</w:t>
        </w:r>
      </w:hyperlink>
      <w:r w:rsidRPr="0099041D">
        <w:rPr>
          <w:rFonts w:asciiTheme="minorEastAsia" w:hAnsiTheme="minorEastAsia" w:hint="eastAsia"/>
          <w:color w:val="000000" w:themeColor="text1"/>
          <w:sz w:val="24"/>
          <w:szCs w:val="24"/>
          <w:shd w:val="clear" w:color="auto" w:fill="FFFFFF"/>
        </w:rPr>
        <w:t>第二条）</w:t>
      </w:r>
    </w:p>
    <w:p w14:paraId="29A79FF2" w14:textId="77777777" w:rsidR="0099041D" w:rsidRPr="0099041D" w:rsidRDefault="0099041D" w:rsidP="0099041D">
      <w:pPr>
        <w:pStyle w:val="2"/>
        <w:spacing w:before="50" w:after="0" w:line="480" w:lineRule="atLeast"/>
        <w:rPr>
          <w:sz w:val="24"/>
          <w:szCs w:val="24"/>
        </w:rPr>
      </w:pPr>
      <w:r w:rsidRPr="0099041D">
        <w:rPr>
          <w:rFonts w:hint="eastAsia"/>
          <w:sz w:val="24"/>
          <w:szCs w:val="24"/>
        </w:rPr>
        <w:t>附注（二）：转让限售股</w:t>
      </w:r>
    </w:p>
    <w:p w14:paraId="1EAFDA63" w14:textId="77777777" w:rsidR="0099041D" w:rsidRPr="0099041D" w:rsidRDefault="0099041D" w:rsidP="0099041D">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9041D">
        <w:rPr>
          <w:rFonts w:asciiTheme="minorEastAsia" w:hAnsiTheme="minorEastAsia" w:cs="宋体" w:hint="eastAsia"/>
          <w:color w:val="000000" w:themeColor="text1"/>
          <w:kern w:val="0"/>
          <w:sz w:val="24"/>
          <w:szCs w:val="24"/>
        </w:rPr>
        <w:t>纳税人转让因同时实施股权分置改革和重大资产重组而首次公开发行股票并上市形成的限售股，以及上市首日至解禁日期间由上述股份孳生的送、转股，以该上市公司股票上市首日开盘价为买入价，按照“金融商品转让”缴纳增值税。</w:t>
      </w:r>
    </w:p>
    <w:p w14:paraId="5B59C8C7" w14:textId="5B6B455F" w:rsidR="0099041D" w:rsidRPr="0099041D" w:rsidRDefault="0099041D" w:rsidP="0099041D">
      <w:pPr>
        <w:spacing w:beforeLines="50" w:before="156" w:line="480" w:lineRule="atLeast"/>
        <w:jc w:val="right"/>
        <w:rPr>
          <w:rFonts w:asciiTheme="minorEastAsia" w:hAnsiTheme="minorEastAsia" w:cs="宋体"/>
          <w:color w:val="000000" w:themeColor="text1"/>
          <w:kern w:val="0"/>
          <w:sz w:val="24"/>
          <w:szCs w:val="24"/>
        </w:rPr>
      </w:pPr>
      <w:bookmarkStart w:id="14" w:name="_Hlk19740534"/>
      <w:r w:rsidRPr="0099041D">
        <w:rPr>
          <w:rFonts w:asciiTheme="minorEastAsia" w:hAnsiTheme="minorEastAsia" w:hint="eastAsia"/>
          <w:color w:val="000000" w:themeColor="text1"/>
          <w:sz w:val="24"/>
          <w:szCs w:val="24"/>
        </w:rPr>
        <w:t>（</w:t>
      </w:r>
      <w:hyperlink r:id="rId21" w:history="1">
        <w:r w:rsidRPr="00C63B91">
          <w:rPr>
            <w:rStyle w:val="a4"/>
            <w:rFonts w:asciiTheme="minorEastAsia" w:hAnsiTheme="minorEastAsia" w:hint="eastAsia"/>
            <w:sz w:val="24"/>
            <w:szCs w:val="24"/>
          </w:rPr>
          <w:t>国家税务总局公告2019年第31号</w:t>
        </w:r>
      </w:hyperlink>
      <w:r w:rsidRPr="0099041D">
        <w:rPr>
          <w:rFonts w:asciiTheme="minorEastAsia" w:hAnsiTheme="minorEastAsia" w:hint="eastAsia"/>
          <w:color w:val="000000" w:themeColor="text1"/>
          <w:sz w:val="24"/>
          <w:szCs w:val="24"/>
        </w:rPr>
        <w:t>第十条第一款）</w:t>
      </w:r>
      <w:bookmarkEnd w:id="14"/>
    </w:p>
    <w:p w14:paraId="1855607A" w14:textId="509C06BD" w:rsidR="00401CBE" w:rsidRPr="0099041D" w:rsidRDefault="00401CBE" w:rsidP="0099041D">
      <w:pPr>
        <w:widowControl/>
        <w:spacing w:beforeLines="50" w:before="156" w:line="480" w:lineRule="atLeast"/>
        <w:ind w:firstLineChars="200" w:firstLine="480"/>
        <w:jc w:val="left"/>
        <w:rPr>
          <w:rFonts w:asciiTheme="minorEastAsia" w:hAnsiTheme="minorEastAsia"/>
          <w:color w:val="000000" w:themeColor="text1"/>
          <w:sz w:val="24"/>
          <w:szCs w:val="24"/>
        </w:rPr>
      </w:pPr>
    </w:p>
    <w:sectPr w:rsidR="00401CBE" w:rsidRPr="0099041D">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39467" w14:textId="77777777" w:rsidR="007A4695" w:rsidRDefault="007A4695" w:rsidP="008A4976">
      <w:r>
        <w:separator/>
      </w:r>
    </w:p>
  </w:endnote>
  <w:endnote w:type="continuationSeparator" w:id="0">
    <w:p w14:paraId="0C3876DF" w14:textId="77777777" w:rsidR="007A4695" w:rsidRDefault="007A4695"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709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7091">
              <w:rPr>
                <w:b/>
                <w:bCs/>
                <w:noProof/>
              </w:rPr>
              <w:t>3</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C5E74" w14:textId="77777777" w:rsidR="007A4695" w:rsidRDefault="007A4695" w:rsidP="008A4976">
      <w:r>
        <w:separator/>
      </w:r>
    </w:p>
  </w:footnote>
  <w:footnote w:type="continuationSeparator" w:id="0">
    <w:p w14:paraId="155B4C56" w14:textId="77777777" w:rsidR="007A4695" w:rsidRDefault="007A4695" w:rsidP="008A4976">
      <w:r>
        <w:continuationSeparator/>
      </w:r>
    </w:p>
  </w:footnote>
  <w:footnote w:id="1">
    <w:p w14:paraId="1E7858B4" w14:textId="77777777" w:rsidR="0099041D" w:rsidRPr="0013198A" w:rsidRDefault="0099041D" w:rsidP="0099041D">
      <w:pPr>
        <w:pStyle w:val="aa"/>
      </w:pPr>
      <w:r>
        <w:rPr>
          <w:rStyle w:val="ac"/>
        </w:rPr>
        <w:footnoteRef/>
      </w:r>
      <w:r>
        <w:t xml:space="preserve"> </w:t>
      </w:r>
      <w:r w:rsidRPr="0013198A">
        <w:rPr>
          <w:rFonts w:ascii="楷体" w:eastAsia="楷体" w:hAnsi="楷体" w:cs="Arial"/>
          <w:color w:val="333333"/>
          <w:sz w:val="21"/>
          <w:szCs w:val="21"/>
          <w:shd w:val="clear" w:color="auto" w:fill="FFFFFF"/>
        </w:rPr>
        <w:t>金融商品是指在金融市场反复</w:t>
      </w:r>
      <w:hyperlink r:id="rId1" w:tgtFrame="_blank" w:history="1">
        <w:r w:rsidRPr="0013198A">
          <w:rPr>
            <w:rFonts w:ascii="楷体" w:eastAsia="楷体" w:hAnsi="楷体" w:cs="Arial"/>
            <w:color w:val="136EC2"/>
            <w:sz w:val="21"/>
            <w:szCs w:val="21"/>
            <w:u w:val="single"/>
            <w:shd w:val="clear" w:color="auto" w:fill="FFFFFF"/>
          </w:rPr>
          <w:t>买卖</w:t>
        </w:r>
      </w:hyperlink>
      <w:r w:rsidRPr="0013198A">
        <w:rPr>
          <w:rFonts w:ascii="楷体" w:eastAsia="楷体" w:hAnsi="楷体" w:cs="Arial"/>
          <w:color w:val="333333"/>
          <w:sz w:val="21"/>
          <w:szCs w:val="21"/>
          <w:shd w:val="clear" w:color="auto" w:fill="FFFFFF"/>
        </w:rPr>
        <w:t>，并有市场价格的各种有价</w:t>
      </w:r>
      <w:hyperlink r:id="rId2" w:tgtFrame="_blank" w:history="1">
        <w:r w:rsidRPr="0013198A">
          <w:rPr>
            <w:rFonts w:ascii="楷体" w:eastAsia="楷体" w:hAnsi="楷体" w:cs="Arial"/>
            <w:color w:val="136EC2"/>
            <w:sz w:val="21"/>
            <w:szCs w:val="21"/>
            <w:u w:val="single"/>
            <w:shd w:val="clear" w:color="auto" w:fill="FFFFFF"/>
          </w:rPr>
          <w:t>证券</w:t>
        </w:r>
      </w:hyperlink>
      <w:r w:rsidRPr="0013198A">
        <w:rPr>
          <w:rFonts w:ascii="楷体" w:eastAsia="楷体" w:hAnsi="楷体" w:cs="Arial"/>
          <w:color w:val="333333"/>
          <w:sz w:val="21"/>
          <w:szCs w:val="21"/>
          <w:shd w:val="clear" w:color="auto" w:fill="FFFFFF"/>
        </w:rPr>
        <w:t>，如股票、</w:t>
      </w:r>
      <w:hyperlink r:id="rId3" w:tgtFrame="_blank" w:history="1">
        <w:r w:rsidRPr="0013198A">
          <w:rPr>
            <w:rFonts w:ascii="楷体" w:eastAsia="楷体" w:hAnsi="楷体" w:cs="Arial"/>
            <w:color w:val="009900"/>
            <w:sz w:val="21"/>
            <w:szCs w:val="21"/>
            <w:u w:val="single"/>
            <w:shd w:val="clear" w:color="auto" w:fill="FFFFFF"/>
          </w:rPr>
          <w:t>债券</w:t>
        </w:r>
      </w:hyperlink>
      <w:r w:rsidRPr="0013198A">
        <w:rPr>
          <w:rFonts w:ascii="楷体" w:eastAsia="楷体" w:hAnsi="楷体" w:cs="Arial"/>
          <w:color w:val="333333"/>
          <w:sz w:val="21"/>
          <w:szCs w:val="21"/>
          <w:shd w:val="clear" w:color="auto" w:fill="FFFFFF"/>
        </w:rPr>
        <w:t>等。</w:t>
      </w:r>
    </w:p>
  </w:footnote>
  <w:footnote w:id="2">
    <w:p w14:paraId="09EFC623" w14:textId="77777777" w:rsidR="0099041D" w:rsidRDefault="0099041D" w:rsidP="0099041D">
      <w:pPr>
        <w:pStyle w:val="aa"/>
      </w:pPr>
      <w:r>
        <w:rPr>
          <w:rStyle w:val="ac"/>
        </w:rPr>
        <w:footnoteRef/>
      </w:r>
      <w:r>
        <w:t xml:space="preserve"> </w:t>
      </w:r>
      <w:r w:rsidRPr="00247FA0">
        <w:rPr>
          <w:rFonts w:ascii="楷体" w:eastAsia="楷体" w:hAnsi="楷体" w:cs="Arial"/>
          <w:color w:val="333333"/>
          <w:sz w:val="21"/>
          <w:szCs w:val="21"/>
          <w:shd w:val="clear" w:color="auto" w:fill="FFFFFF"/>
        </w:rPr>
        <w:t>押汇(documentary bills)又称买单结汇，是指</w:t>
      </w:r>
      <w:hyperlink r:id="rId4" w:tgtFrame="_blank" w:history="1">
        <w:r w:rsidRPr="00247FA0">
          <w:rPr>
            <w:rFonts w:ascii="楷体" w:eastAsia="楷体" w:hAnsi="楷体" w:cs="Arial"/>
            <w:color w:val="333333"/>
            <w:sz w:val="21"/>
            <w:szCs w:val="21"/>
            <w:shd w:val="clear" w:color="auto" w:fill="FFFFFF"/>
          </w:rPr>
          <w:t>议付行</w:t>
        </w:r>
      </w:hyperlink>
      <w:r w:rsidRPr="00247FA0">
        <w:rPr>
          <w:rFonts w:ascii="楷体" w:eastAsia="楷体" w:hAnsi="楷体" w:cs="Arial"/>
          <w:color w:val="333333"/>
          <w:sz w:val="21"/>
          <w:szCs w:val="21"/>
          <w:shd w:val="clear" w:color="auto" w:fill="FFFFFF"/>
        </w:rPr>
        <w:t>在</w:t>
      </w:r>
      <w:hyperlink r:id="rId5" w:tgtFrame="_blank" w:history="1">
        <w:r w:rsidRPr="00247FA0">
          <w:rPr>
            <w:rFonts w:ascii="楷体" w:eastAsia="楷体" w:hAnsi="楷体" w:cs="Arial"/>
            <w:color w:val="333333"/>
            <w:sz w:val="21"/>
            <w:szCs w:val="21"/>
            <w:shd w:val="clear" w:color="auto" w:fill="FFFFFF"/>
          </w:rPr>
          <w:t>审单</w:t>
        </w:r>
      </w:hyperlink>
      <w:r w:rsidRPr="00247FA0">
        <w:rPr>
          <w:rFonts w:ascii="楷体" w:eastAsia="楷体" w:hAnsi="楷体" w:cs="Arial"/>
          <w:color w:val="333333"/>
          <w:sz w:val="21"/>
          <w:szCs w:val="21"/>
          <w:shd w:val="clear" w:color="auto" w:fill="FFFFFF"/>
        </w:rPr>
        <w:t>无误情况下，按</w:t>
      </w:r>
      <w:hyperlink r:id="rId6" w:tgtFrame="_blank" w:history="1">
        <w:r w:rsidRPr="00247FA0">
          <w:rPr>
            <w:rFonts w:ascii="楷体" w:eastAsia="楷体" w:hAnsi="楷体" w:cs="Arial"/>
            <w:color w:val="333333"/>
            <w:sz w:val="21"/>
            <w:szCs w:val="21"/>
            <w:shd w:val="clear" w:color="auto" w:fill="FFFFFF"/>
          </w:rPr>
          <w:t>信用证</w:t>
        </w:r>
      </w:hyperlink>
      <w:r w:rsidRPr="00247FA0">
        <w:rPr>
          <w:rFonts w:ascii="楷体" w:eastAsia="楷体" w:hAnsi="楷体" w:cs="Arial"/>
          <w:color w:val="333333"/>
          <w:sz w:val="21"/>
          <w:szCs w:val="21"/>
          <w:shd w:val="clear" w:color="auto" w:fill="FFFFFF"/>
        </w:rPr>
        <w:t>条款买入</w:t>
      </w:r>
      <w:hyperlink r:id="rId7" w:tgtFrame="_blank" w:history="1">
        <w:r w:rsidRPr="00247FA0">
          <w:rPr>
            <w:rFonts w:ascii="楷体" w:eastAsia="楷体" w:hAnsi="楷体" w:cs="Arial"/>
            <w:color w:val="333333"/>
            <w:sz w:val="21"/>
            <w:szCs w:val="21"/>
            <w:shd w:val="clear" w:color="auto" w:fill="FFFFFF"/>
          </w:rPr>
          <w:t>受益人</w:t>
        </w:r>
      </w:hyperlink>
      <w:r w:rsidRPr="00247FA0">
        <w:rPr>
          <w:rFonts w:ascii="楷体" w:eastAsia="楷体" w:hAnsi="楷体" w:cs="Arial"/>
          <w:color w:val="333333"/>
          <w:sz w:val="21"/>
          <w:szCs w:val="21"/>
          <w:shd w:val="clear" w:color="auto" w:fill="FFFFFF"/>
        </w:rPr>
        <w:t>(</w:t>
      </w:r>
      <w:hyperlink r:id="rId8" w:tgtFrame="_blank" w:history="1">
        <w:r w:rsidRPr="00247FA0">
          <w:rPr>
            <w:rFonts w:ascii="楷体" w:eastAsia="楷体" w:hAnsi="楷体" w:cs="Arial"/>
            <w:color w:val="333333"/>
            <w:sz w:val="21"/>
            <w:szCs w:val="21"/>
            <w:shd w:val="clear" w:color="auto" w:fill="FFFFFF"/>
          </w:rPr>
          <w:t>外贸公司</w:t>
        </w:r>
      </w:hyperlink>
      <w:r w:rsidRPr="00247FA0">
        <w:rPr>
          <w:rFonts w:ascii="楷体" w:eastAsia="楷体" w:hAnsi="楷体" w:cs="Arial"/>
          <w:color w:val="333333"/>
          <w:sz w:val="21"/>
          <w:szCs w:val="21"/>
          <w:shd w:val="clear" w:color="auto" w:fill="FFFFFF"/>
        </w:rPr>
        <w:t>)的汇票和</w:t>
      </w:r>
      <w:hyperlink r:id="rId9" w:tgtFrame="_blank" w:history="1">
        <w:r w:rsidRPr="00247FA0">
          <w:rPr>
            <w:rFonts w:ascii="楷体" w:eastAsia="楷体" w:hAnsi="楷体" w:cs="Arial"/>
            <w:color w:val="333333"/>
            <w:sz w:val="21"/>
            <w:szCs w:val="21"/>
            <w:shd w:val="clear" w:color="auto" w:fill="FFFFFF"/>
          </w:rPr>
          <w:t>单据</w:t>
        </w:r>
      </w:hyperlink>
      <w:r w:rsidRPr="00247FA0">
        <w:rPr>
          <w:rFonts w:ascii="楷体" w:eastAsia="楷体" w:hAnsi="楷体" w:cs="Arial"/>
          <w:color w:val="333333"/>
          <w:sz w:val="21"/>
          <w:szCs w:val="21"/>
          <w:shd w:val="clear" w:color="auto" w:fill="FFFFFF"/>
        </w:rPr>
        <w:t>，从</w:t>
      </w:r>
      <w:hyperlink r:id="rId10" w:tgtFrame="_blank" w:history="1">
        <w:r w:rsidRPr="00247FA0">
          <w:rPr>
            <w:rFonts w:ascii="楷体" w:eastAsia="楷体" w:hAnsi="楷体" w:cs="Arial"/>
            <w:color w:val="333333"/>
            <w:sz w:val="21"/>
            <w:szCs w:val="21"/>
            <w:shd w:val="clear" w:color="auto" w:fill="FFFFFF"/>
          </w:rPr>
          <w:t>票面金额</w:t>
        </w:r>
      </w:hyperlink>
      <w:r w:rsidRPr="00247FA0">
        <w:rPr>
          <w:rFonts w:ascii="楷体" w:eastAsia="楷体" w:hAnsi="楷体" w:cs="Arial"/>
          <w:color w:val="333333"/>
          <w:sz w:val="21"/>
          <w:szCs w:val="21"/>
          <w:shd w:val="clear" w:color="auto" w:fill="FFFFFF"/>
        </w:rPr>
        <w:t>中扣除从议付日到估计收到票款之日的利息，将余款按议付日</w:t>
      </w:r>
      <w:hyperlink r:id="rId11" w:tgtFrame="_blank" w:history="1">
        <w:r w:rsidRPr="00247FA0">
          <w:rPr>
            <w:rFonts w:ascii="楷体" w:eastAsia="楷体" w:hAnsi="楷体" w:cs="Arial"/>
            <w:color w:val="333333"/>
            <w:sz w:val="21"/>
            <w:szCs w:val="21"/>
            <w:shd w:val="clear" w:color="auto" w:fill="FFFFFF"/>
          </w:rPr>
          <w:t>外汇牌价</w:t>
        </w:r>
      </w:hyperlink>
      <w:r w:rsidRPr="00247FA0">
        <w:rPr>
          <w:rFonts w:ascii="楷体" w:eastAsia="楷体" w:hAnsi="楷体" w:cs="Arial"/>
          <w:color w:val="333333"/>
          <w:sz w:val="21"/>
          <w:szCs w:val="21"/>
          <w:shd w:val="clear" w:color="auto" w:fill="FFFFFF"/>
        </w:rPr>
        <w:t>折成人民币，拨给外贸公司。</w:t>
      </w:r>
    </w:p>
  </w:footnote>
  <w:footnote w:id="3">
    <w:p w14:paraId="4E90F0E6" w14:textId="77777777" w:rsidR="0099041D" w:rsidRDefault="0099041D" w:rsidP="0099041D">
      <w:pPr>
        <w:pStyle w:val="aa"/>
      </w:pPr>
      <w:r>
        <w:rPr>
          <w:rStyle w:val="ac"/>
        </w:rPr>
        <w:footnoteRef/>
      </w:r>
      <w:r>
        <w:t xml:space="preserve"> </w:t>
      </w:r>
      <w:r w:rsidRPr="00247FA0">
        <w:rPr>
          <w:rFonts w:ascii="楷体_GB2312" w:eastAsia="楷体_GB2312" w:hAnsi="Arial" w:cs="Arial" w:hint="eastAsia"/>
          <w:color w:val="333333"/>
          <w:sz w:val="21"/>
          <w:szCs w:val="21"/>
          <w:shd w:val="clear" w:color="auto" w:fill="FFFFFF"/>
        </w:rPr>
        <w:t>资产管理是指委托人将自己的资产交给受托人，由受托人为委托人提供理财服务的行为。是金融机构代理客户资产在金融市场进行投资，为客户获取投资收益。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1308B0"/>
    <w:rsid w:val="00156542"/>
    <w:rsid w:val="00160A63"/>
    <w:rsid w:val="001C03AC"/>
    <w:rsid w:val="002149B9"/>
    <w:rsid w:val="00223407"/>
    <w:rsid w:val="0026184E"/>
    <w:rsid w:val="002D2FBC"/>
    <w:rsid w:val="002E6A5E"/>
    <w:rsid w:val="002E7F9B"/>
    <w:rsid w:val="003A1160"/>
    <w:rsid w:val="00401CBE"/>
    <w:rsid w:val="0046344C"/>
    <w:rsid w:val="004B74E4"/>
    <w:rsid w:val="00586D71"/>
    <w:rsid w:val="00605259"/>
    <w:rsid w:val="006853B2"/>
    <w:rsid w:val="006A1C66"/>
    <w:rsid w:val="006E3A91"/>
    <w:rsid w:val="00703816"/>
    <w:rsid w:val="007170AA"/>
    <w:rsid w:val="007403B4"/>
    <w:rsid w:val="007A4695"/>
    <w:rsid w:val="007D7D01"/>
    <w:rsid w:val="007F66B9"/>
    <w:rsid w:val="0080484F"/>
    <w:rsid w:val="00821857"/>
    <w:rsid w:val="00823209"/>
    <w:rsid w:val="0088139C"/>
    <w:rsid w:val="008A4976"/>
    <w:rsid w:val="008D5C7D"/>
    <w:rsid w:val="008F47BC"/>
    <w:rsid w:val="00923C53"/>
    <w:rsid w:val="0099041D"/>
    <w:rsid w:val="009A0FE2"/>
    <w:rsid w:val="009D726B"/>
    <w:rsid w:val="00A05895"/>
    <w:rsid w:val="00A13986"/>
    <w:rsid w:val="00A61B18"/>
    <w:rsid w:val="00B10769"/>
    <w:rsid w:val="00BD6687"/>
    <w:rsid w:val="00BF569D"/>
    <w:rsid w:val="00C457C7"/>
    <w:rsid w:val="00C63B91"/>
    <w:rsid w:val="00CA0606"/>
    <w:rsid w:val="00CB0DBB"/>
    <w:rsid w:val="00CE6AC2"/>
    <w:rsid w:val="00E17091"/>
    <w:rsid w:val="00E477C0"/>
    <w:rsid w:val="00E9063E"/>
    <w:rsid w:val="00F30237"/>
    <w:rsid w:val="00F47016"/>
    <w:rsid w:val="00F57C18"/>
    <w:rsid w:val="00F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7F2BE13E-F92C-451C-8EAE-358ED600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styleId="ad">
    <w:name w:val="Unresolved Mention"/>
    <w:basedOn w:val="a0"/>
    <w:uiPriority w:val="99"/>
    <w:semiHidden/>
    <w:unhideWhenUsed/>
    <w:rsid w:val="00C6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7031.html" TargetMode="External"/><Relationship Id="rId18" Type="http://schemas.openxmlformats.org/officeDocument/2006/relationships/hyperlink" Target="http://ssfb86.com/index/News/detail/newsid/7031.html" TargetMode="External"/><Relationship Id="rId3" Type="http://schemas.openxmlformats.org/officeDocument/2006/relationships/webSettings" Target="webSettings.xml"/><Relationship Id="rId21" Type="http://schemas.openxmlformats.org/officeDocument/2006/relationships/hyperlink" Target="http://ssfb86.com/index/News/detail/newsid/112.html" TargetMode="External"/><Relationship Id="rId7" Type="http://schemas.openxmlformats.org/officeDocument/2006/relationships/hyperlink" Target="http://ssfb86.com/index/News/detail/newsid/7031.html" TargetMode="External"/><Relationship Id="rId12" Type="http://schemas.openxmlformats.org/officeDocument/2006/relationships/hyperlink" Target="http://ssfb86.com/index/News/detail/newsid/7031.html" TargetMode="External"/><Relationship Id="rId17" Type="http://schemas.openxmlformats.org/officeDocument/2006/relationships/hyperlink" Target="http://ssfb86.com/index/News/detail/newsid/7031.html" TargetMode="External"/><Relationship Id="rId2" Type="http://schemas.openxmlformats.org/officeDocument/2006/relationships/settings" Target="settings.xml"/><Relationship Id="rId16" Type="http://schemas.openxmlformats.org/officeDocument/2006/relationships/hyperlink" Target="http://ssfb86.com/index/News/detail/newsid/7031.html" TargetMode="External"/><Relationship Id="rId20" Type="http://schemas.openxmlformats.org/officeDocument/2006/relationships/hyperlink" Target="http://ssfb86.com/index/News/detail/newsid/596.html" TargetMode="Externa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openxmlformats.org/officeDocument/2006/relationships/hyperlink" Target="file:///E:\&#23398;&#20064;\&#31246;&#25910;\&#31246;&#27861;&#22320;&#22270;\&#31246;&#25910;&#27861;&#35268;&#27719;&#32534;&#65288;&#25353;&#26085;&#26399;&#20998;&#31867;&#65289;\2016&#24180;\12&#26376;\&#36130;&#31246;%5b2016%5d140&#21495;&#8212;&#8212;&#20851;&#20110;&#26126;&#30830;&#37329;&#34701;%20&#25151;&#22320;&#20135;&#24320;&#21457;%20&#25945;&#32946;&#36741;&#21161;&#26381;&#21153;&#31561;&#22686;&#20540;&#31246;&#25919;&#31574;&#30340;&#36890;&#3069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7031.html" TargetMode="External"/><Relationship Id="rId23" Type="http://schemas.openxmlformats.org/officeDocument/2006/relationships/fontTable" Target="fontTable.xml"/><Relationship Id="rId10" Type="http://schemas.openxmlformats.org/officeDocument/2006/relationships/hyperlink" Target="http://www.shui5.cn/article/ce/86646.html" TargetMode="External"/><Relationship Id="rId19" Type="http://schemas.openxmlformats.org/officeDocument/2006/relationships/hyperlink" Target="http://ssfb86.com/index/News/detail/newsid/7031.html" TargetMode="External"/><Relationship Id="rId4" Type="http://schemas.openxmlformats.org/officeDocument/2006/relationships/footnotes" Target="footnotes.xml"/><Relationship Id="rId9" Type="http://schemas.openxmlformats.org/officeDocument/2006/relationships/hyperlink" Target="file:///E:\&#23398;&#20064;\&#31246;&#25910;\&#31246;&#27861;&#22320;&#22270;\3&#26376;\&#65288;&#38468;&#20214;1&#65289;&#33829;&#19994;&#31246;&#25913;&#24449;&#22686;&#20540;&#31246;&#35797;&#28857;&#23454;&#26045;&#21150;&#27861;.docx" TargetMode="External"/><Relationship Id="rId14" Type="http://schemas.openxmlformats.org/officeDocument/2006/relationships/hyperlink" Target="http://ssfb86.com/index/News/detail/newsid/7031.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aike.so.com/doc/5399603-5637138.html" TargetMode="External"/><Relationship Id="rId3" Type="http://schemas.openxmlformats.org/officeDocument/2006/relationships/hyperlink" Target="https://baike.so.com/doc/2539024.html" TargetMode="External"/><Relationship Id="rId7" Type="http://schemas.openxmlformats.org/officeDocument/2006/relationships/hyperlink" Target="https://baike.so.com/doc/5373244-5609217.html" TargetMode="External"/><Relationship Id="rId2" Type="http://schemas.openxmlformats.org/officeDocument/2006/relationships/hyperlink" Target="https://baike.so.com/doc/5338597-5574038.html" TargetMode="External"/><Relationship Id="rId1" Type="http://schemas.openxmlformats.org/officeDocument/2006/relationships/hyperlink" Target="https://baike.so.com/doc/5422013.html" TargetMode="External"/><Relationship Id="rId6" Type="http://schemas.openxmlformats.org/officeDocument/2006/relationships/hyperlink" Target="https://baike.so.com/doc/760548-804877.html" TargetMode="External"/><Relationship Id="rId11" Type="http://schemas.openxmlformats.org/officeDocument/2006/relationships/hyperlink" Target="https://baike.so.com/doc/1579867-1670099.html" TargetMode="External"/><Relationship Id="rId5" Type="http://schemas.openxmlformats.org/officeDocument/2006/relationships/hyperlink" Target="https://baike.so.com/doc/6684104-6898004.html" TargetMode="External"/><Relationship Id="rId10" Type="http://schemas.openxmlformats.org/officeDocument/2006/relationships/hyperlink" Target="https://baike.so.com/doc/6741091-6955602.html" TargetMode="External"/><Relationship Id="rId4" Type="http://schemas.openxmlformats.org/officeDocument/2006/relationships/hyperlink" Target="https://baike.so.com/doc/555298-587912.html" TargetMode="External"/><Relationship Id="rId9" Type="http://schemas.openxmlformats.org/officeDocument/2006/relationships/hyperlink" Target="https://baike.so.com/doc/6474050-66877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2020-06-30T01:52:00Z</dcterms:created>
  <dcterms:modified xsi:type="dcterms:W3CDTF">2020-09-29T01:09:00Z</dcterms:modified>
</cp:coreProperties>
</file>