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28801466" w:rsidR="008D5C7D" w:rsidRDefault="000C39CC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4</w:t>
      </w:r>
      <w:r w:rsidR="008D5C7D" w:rsidRPr="007D7D01">
        <w:rPr>
          <w:color w:val="000000" w:themeColor="text1"/>
          <w:sz w:val="44"/>
          <w:szCs w:val="44"/>
        </w:rPr>
        <w:t>.</w:t>
      </w:r>
      <w:r w:rsidR="00CF38AB">
        <w:rPr>
          <w:color w:val="000000" w:themeColor="text1"/>
          <w:sz w:val="44"/>
          <w:szCs w:val="44"/>
        </w:rPr>
        <w:t>3</w:t>
      </w:r>
      <w:r w:rsidR="00CF38AB" w:rsidRPr="007D7D01">
        <w:rPr>
          <w:color w:val="000000" w:themeColor="text1"/>
          <w:sz w:val="44"/>
          <w:szCs w:val="44"/>
        </w:rPr>
        <w:t>.</w:t>
      </w:r>
      <w:r w:rsidR="00CF38AB">
        <w:rPr>
          <w:color w:val="000000" w:themeColor="text1"/>
          <w:sz w:val="44"/>
          <w:szCs w:val="44"/>
        </w:rPr>
        <w:t>1</w:t>
      </w:r>
      <w:r w:rsidR="005037B6">
        <w:rPr>
          <w:color w:val="000000" w:themeColor="text1"/>
          <w:sz w:val="44"/>
          <w:szCs w:val="44"/>
        </w:rPr>
        <w:t xml:space="preserve">  </w:t>
      </w:r>
      <w:r w:rsidR="00CF38AB">
        <w:rPr>
          <w:rFonts w:hint="eastAsia"/>
          <w:color w:val="000000" w:themeColor="text1"/>
          <w:sz w:val="44"/>
          <w:szCs w:val="44"/>
        </w:rPr>
        <w:t>一般计税的计算公式</w:t>
      </w:r>
    </w:p>
    <w:p w14:paraId="1883FB4E" w14:textId="41504C1E" w:rsidR="001155BA" w:rsidRDefault="001155BA" w:rsidP="00184243">
      <w:pPr>
        <w:widowControl/>
        <w:shd w:val="clear" w:color="auto" w:fill="FFFFFF"/>
        <w:spacing w:beforeLines="50" w:before="156" w:line="44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489C5D99" w14:textId="77777777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除本条例第十一条规定外，纳税人销售货物、劳务、服务、无形资产、不动产（以下统称应税销售行为），应纳税额为当期销项税额抵扣当期进项税额后的余额。应纳税额计算公式：</w:t>
      </w:r>
    </w:p>
    <w:p w14:paraId="31BF9332" w14:textId="77777777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应纳税额=当期销项税额－当期进项税额</w:t>
      </w:r>
    </w:p>
    <w:p w14:paraId="1D7EAC20" w14:textId="3BE98001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Hlk7635438"/>
      <w:r w:rsidRPr="00C9374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627FD">
        <w:rPr>
          <w:rFonts w:hint="eastAsia"/>
          <w:color w:val="000000" w:themeColor="text1"/>
        </w:rPr>
        <w:t>《</w:t>
      </w:r>
      <w:hyperlink r:id="rId6" w:history="1">
        <w:r w:rsidR="00D627FD">
          <w:rPr>
            <w:rStyle w:val="a4"/>
            <w:rFonts w:hint="eastAsia"/>
          </w:rPr>
          <w:t>增值税暂行条例</w:t>
        </w:r>
      </w:hyperlink>
      <w:r w:rsidR="00D627FD">
        <w:rPr>
          <w:rFonts w:hint="eastAsia"/>
          <w:color w:val="000000" w:themeColor="text1"/>
        </w:rPr>
        <w:t>》</w:t>
      </w:r>
      <w:r w:rsidRPr="00C93749">
        <w:rPr>
          <w:rFonts w:asciiTheme="minorEastAsia" w:eastAsiaTheme="minorEastAsia" w:hAnsiTheme="minorEastAsia" w:hint="eastAsia"/>
          <w:color w:val="000000" w:themeColor="text1"/>
        </w:rPr>
        <w:t>第四条第一款）</w:t>
      </w:r>
    </w:p>
    <w:p w14:paraId="1F9DFBA1" w14:textId="13CB45CA" w:rsidR="00C93749" w:rsidRPr="00C93749" w:rsidRDefault="00C93749" w:rsidP="00C93749">
      <w:pPr>
        <w:pStyle w:val="1"/>
        <w:spacing w:before="50" w:after="0" w:line="440" w:lineRule="atLeast"/>
        <w:rPr>
          <w:rStyle w:val="a9"/>
          <w:rFonts w:asciiTheme="minorEastAsia" w:hAnsiTheme="minorEastAsia"/>
          <w:b/>
          <w:color w:val="000000" w:themeColor="text1"/>
          <w:sz w:val="24"/>
          <w:szCs w:val="24"/>
        </w:rPr>
      </w:pPr>
      <w:bookmarkStart w:id="1" w:name="_Toc12893877"/>
      <w:r w:rsidRPr="00C93749">
        <w:rPr>
          <w:rStyle w:val="a9"/>
          <w:rFonts w:asciiTheme="minorEastAsia" w:hAnsiTheme="minorEastAsia" w:hint="eastAsia"/>
          <w:b/>
          <w:color w:val="000000" w:themeColor="text1"/>
          <w:sz w:val="24"/>
          <w:szCs w:val="24"/>
        </w:rPr>
        <w:t>一、销项税额</w:t>
      </w:r>
      <w:bookmarkEnd w:id="1"/>
    </w:p>
    <w:p w14:paraId="0ACB0537" w14:textId="77777777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纳税人发生应税销售行为，按照销售额和本条例第二条规定的税率计算收取的增值税额，为销项税额。销项税额计算公式：</w:t>
      </w:r>
    </w:p>
    <w:p w14:paraId="2993CB86" w14:textId="77777777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销项税额=销售额×税率</w:t>
      </w:r>
    </w:p>
    <w:p w14:paraId="25F3A487" w14:textId="2621CACB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627FD">
        <w:rPr>
          <w:rFonts w:hint="eastAsia"/>
          <w:color w:val="000000" w:themeColor="text1"/>
        </w:rPr>
        <w:t>《</w:t>
      </w:r>
      <w:hyperlink r:id="rId7" w:history="1">
        <w:r w:rsidR="00D627FD">
          <w:rPr>
            <w:rStyle w:val="a4"/>
            <w:rFonts w:hint="eastAsia"/>
          </w:rPr>
          <w:t>增值税暂行条例</w:t>
        </w:r>
      </w:hyperlink>
      <w:r w:rsidR="00D627FD">
        <w:rPr>
          <w:rFonts w:hint="eastAsia"/>
          <w:color w:val="000000" w:themeColor="text1"/>
        </w:rPr>
        <w:t>》</w:t>
      </w:r>
      <w:r w:rsidRPr="00C93749">
        <w:rPr>
          <w:rFonts w:asciiTheme="minorEastAsia" w:eastAsiaTheme="minorEastAsia" w:hAnsiTheme="minorEastAsia" w:hint="eastAsia"/>
          <w:color w:val="000000" w:themeColor="text1"/>
        </w:rPr>
        <w:t>第五条）</w:t>
      </w:r>
    </w:p>
    <w:p w14:paraId="0EFBA883" w14:textId="72DEE62F" w:rsidR="00C93749" w:rsidRPr="00C93749" w:rsidRDefault="00C93749" w:rsidP="00C93749">
      <w:pPr>
        <w:pStyle w:val="1"/>
        <w:spacing w:before="50" w:after="0" w:line="440" w:lineRule="atLeast"/>
        <w:rPr>
          <w:sz w:val="24"/>
          <w:szCs w:val="24"/>
        </w:rPr>
      </w:pPr>
      <w:r w:rsidRPr="00C93749">
        <w:rPr>
          <w:rFonts w:hint="eastAsia"/>
          <w:sz w:val="24"/>
          <w:szCs w:val="24"/>
        </w:rPr>
        <w:t>二、进项税额</w:t>
      </w:r>
    </w:p>
    <w:p w14:paraId="677C586B" w14:textId="69F41A3B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另见:</w:t>
      </w:r>
    </w:p>
    <w:bookmarkEnd w:id="0"/>
    <w:p w14:paraId="2858EEDE" w14:textId="7A71CB12" w:rsidR="00C93749" w:rsidRPr="00C93749" w:rsidRDefault="00C93749" w:rsidP="00C93749">
      <w:pPr>
        <w:pStyle w:val="1"/>
        <w:spacing w:before="50" w:after="0" w:line="440" w:lineRule="atLeast"/>
        <w:rPr>
          <w:sz w:val="24"/>
          <w:szCs w:val="24"/>
        </w:rPr>
      </w:pPr>
      <w:r w:rsidRPr="00C93749">
        <w:rPr>
          <w:rFonts w:hint="eastAsia"/>
          <w:sz w:val="24"/>
          <w:szCs w:val="24"/>
        </w:rPr>
        <w:t>三、留抵税额</w:t>
      </w:r>
    </w:p>
    <w:p w14:paraId="76D086FF" w14:textId="77777777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当期销项税额小于当期进项税额不足抵扣时，其不足部分可以结转下期继续抵扣。</w:t>
      </w:r>
    </w:p>
    <w:p w14:paraId="38D7E85D" w14:textId="1153A438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627FD">
        <w:rPr>
          <w:rFonts w:hint="eastAsia"/>
          <w:color w:val="000000" w:themeColor="text1"/>
        </w:rPr>
        <w:t>《</w:t>
      </w:r>
      <w:hyperlink r:id="rId8" w:history="1">
        <w:r w:rsidR="00D627FD">
          <w:rPr>
            <w:rStyle w:val="a4"/>
            <w:rFonts w:hint="eastAsia"/>
          </w:rPr>
          <w:t>增值税暂行条例</w:t>
        </w:r>
      </w:hyperlink>
      <w:r w:rsidR="00D627FD">
        <w:rPr>
          <w:rFonts w:hint="eastAsia"/>
          <w:color w:val="000000" w:themeColor="text1"/>
        </w:rPr>
        <w:t>》</w:t>
      </w:r>
      <w:r w:rsidRPr="00C93749">
        <w:rPr>
          <w:rFonts w:asciiTheme="minorEastAsia" w:eastAsiaTheme="minorEastAsia" w:hAnsiTheme="minorEastAsia" w:hint="eastAsia"/>
          <w:color w:val="000000" w:themeColor="text1"/>
        </w:rPr>
        <w:t>第四条第二款）</w:t>
      </w:r>
    </w:p>
    <w:p w14:paraId="4DF9F7D9" w14:textId="77777777" w:rsidR="00C93749" w:rsidRPr="00C93749" w:rsidRDefault="00C93749" w:rsidP="00C93749">
      <w:pPr>
        <w:pStyle w:val="1"/>
        <w:spacing w:before="50" w:after="0" w:line="440" w:lineRule="atLeast"/>
        <w:rPr>
          <w:sz w:val="24"/>
          <w:szCs w:val="24"/>
        </w:rPr>
      </w:pPr>
      <w:r w:rsidRPr="00C93749">
        <w:rPr>
          <w:rFonts w:hint="eastAsia"/>
          <w:sz w:val="24"/>
          <w:szCs w:val="24"/>
        </w:rPr>
        <w:t>附注：营改增前的留抵不得从营改增项目中抵扣</w:t>
      </w:r>
    </w:p>
    <w:p w14:paraId="09A6254A" w14:textId="77777777" w:rsidR="00C93749" w:rsidRPr="00C93749" w:rsidRDefault="00C93749" w:rsidP="00C93749">
      <w:pPr>
        <w:pStyle w:val="a3"/>
        <w:shd w:val="clear" w:color="auto" w:fill="FFFFFF"/>
        <w:spacing w:beforeLines="50" w:before="156" w:line="44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93749">
        <w:rPr>
          <w:rFonts w:asciiTheme="minorEastAsia" w:eastAsiaTheme="minorEastAsia" w:hAnsiTheme="minorEastAsia"/>
          <w:color w:val="000000" w:themeColor="text1"/>
        </w:rPr>
        <w:t>原增值税一般纳税人兼有销售服务、无形资产或者不动产的，截止到纳入营改增试点之日前的增值税期末留抵税额，不得从销售服务、无形资产或者不动产的销项税额中抵扣。</w:t>
      </w:r>
    </w:p>
    <w:p w14:paraId="45F1391C" w14:textId="7F242FFB" w:rsidR="00C93749" w:rsidRPr="00C93749" w:rsidRDefault="00C93749" w:rsidP="00C93749">
      <w:pPr>
        <w:widowControl/>
        <w:spacing w:beforeLines="50" w:before="156" w:line="44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93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="00713CD4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C937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第二条第二款）</w:t>
      </w:r>
    </w:p>
    <w:p w14:paraId="733A231F" w14:textId="77777777" w:rsidR="004E5998" w:rsidRPr="00184243" w:rsidRDefault="004E5998" w:rsidP="00184243">
      <w:pPr>
        <w:spacing w:before="50" w:line="440" w:lineRule="atLeast"/>
        <w:rPr>
          <w:sz w:val="24"/>
          <w:szCs w:val="24"/>
        </w:rPr>
      </w:pPr>
    </w:p>
    <w:sectPr w:rsidR="004E5998" w:rsidRPr="0018424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6A17E" w14:textId="77777777" w:rsidR="0058454B" w:rsidRDefault="0058454B" w:rsidP="008A4976">
      <w:r>
        <w:separator/>
      </w:r>
    </w:p>
  </w:endnote>
  <w:endnote w:type="continuationSeparator" w:id="0">
    <w:p w14:paraId="55AE23C6" w14:textId="77777777" w:rsidR="0058454B" w:rsidRDefault="0058454B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7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7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1DF17" w14:textId="77777777" w:rsidR="0058454B" w:rsidRDefault="0058454B" w:rsidP="008A4976">
      <w:r>
        <w:separator/>
      </w:r>
    </w:p>
  </w:footnote>
  <w:footnote w:type="continuationSeparator" w:id="0">
    <w:p w14:paraId="04F34F75" w14:textId="77777777" w:rsidR="0058454B" w:rsidRDefault="0058454B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4C"/>
    <w:rsid w:val="00014CD4"/>
    <w:rsid w:val="000A64D6"/>
    <w:rsid w:val="000C39CC"/>
    <w:rsid w:val="001155BA"/>
    <w:rsid w:val="001308B0"/>
    <w:rsid w:val="0013157C"/>
    <w:rsid w:val="00132002"/>
    <w:rsid w:val="00156542"/>
    <w:rsid w:val="00160A63"/>
    <w:rsid w:val="00176747"/>
    <w:rsid w:val="00184243"/>
    <w:rsid w:val="00191751"/>
    <w:rsid w:val="001C03AC"/>
    <w:rsid w:val="001F68DD"/>
    <w:rsid w:val="002117B6"/>
    <w:rsid w:val="002149B9"/>
    <w:rsid w:val="00223407"/>
    <w:rsid w:val="002362EB"/>
    <w:rsid w:val="0024099E"/>
    <w:rsid w:val="0026184E"/>
    <w:rsid w:val="002A1609"/>
    <w:rsid w:val="002C12B7"/>
    <w:rsid w:val="002D2FBC"/>
    <w:rsid w:val="002E6A5E"/>
    <w:rsid w:val="002E7F9B"/>
    <w:rsid w:val="003035DC"/>
    <w:rsid w:val="00305697"/>
    <w:rsid w:val="00322677"/>
    <w:rsid w:val="00372C73"/>
    <w:rsid w:val="003A1160"/>
    <w:rsid w:val="00401CBE"/>
    <w:rsid w:val="00420292"/>
    <w:rsid w:val="0046344C"/>
    <w:rsid w:val="004B74E4"/>
    <w:rsid w:val="004B7B26"/>
    <w:rsid w:val="004E5998"/>
    <w:rsid w:val="005037B6"/>
    <w:rsid w:val="00542FA5"/>
    <w:rsid w:val="0054631F"/>
    <w:rsid w:val="00562B63"/>
    <w:rsid w:val="0058454B"/>
    <w:rsid w:val="00586D71"/>
    <w:rsid w:val="005B706B"/>
    <w:rsid w:val="00605259"/>
    <w:rsid w:val="006537F7"/>
    <w:rsid w:val="00653F63"/>
    <w:rsid w:val="00662320"/>
    <w:rsid w:val="00682B3C"/>
    <w:rsid w:val="006853B2"/>
    <w:rsid w:val="006A1C66"/>
    <w:rsid w:val="006E3A91"/>
    <w:rsid w:val="006F1D1C"/>
    <w:rsid w:val="006F4E16"/>
    <w:rsid w:val="00703816"/>
    <w:rsid w:val="007052BC"/>
    <w:rsid w:val="00713CD4"/>
    <w:rsid w:val="007170AA"/>
    <w:rsid w:val="007403B4"/>
    <w:rsid w:val="007B5A0A"/>
    <w:rsid w:val="007D7D01"/>
    <w:rsid w:val="007E13F0"/>
    <w:rsid w:val="007F66B9"/>
    <w:rsid w:val="0080484F"/>
    <w:rsid w:val="0081395D"/>
    <w:rsid w:val="00821857"/>
    <w:rsid w:val="00823209"/>
    <w:rsid w:val="00827268"/>
    <w:rsid w:val="0088139C"/>
    <w:rsid w:val="008A4976"/>
    <w:rsid w:val="008C4243"/>
    <w:rsid w:val="008D5C7D"/>
    <w:rsid w:val="008E61BB"/>
    <w:rsid w:val="008F47BC"/>
    <w:rsid w:val="008F7B13"/>
    <w:rsid w:val="00923C53"/>
    <w:rsid w:val="0099041D"/>
    <w:rsid w:val="009A0FE2"/>
    <w:rsid w:val="009D726B"/>
    <w:rsid w:val="009F496B"/>
    <w:rsid w:val="00A05895"/>
    <w:rsid w:val="00A13986"/>
    <w:rsid w:val="00A61B18"/>
    <w:rsid w:val="00A763A8"/>
    <w:rsid w:val="00A82E11"/>
    <w:rsid w:val="00AB1298"/>
    <w:rsid w:val="00AC64DC"/>
    <w:rsid w:val="00AD1874"/>
    <w:rsid w:val="00AE18C8"/>
    <w:rsid w:val="00AE4E06"/>
    <w:rsid w:val="00B01699"/>
    <w:rsid w:val="00B10769"/>
    <w:rsid w:val="00B86D93"/>
    <w:rsid w:val="00B92645"/>
    <w:rsid w:val="00BD6687"/>
    <w:rsid w:val="00BF394F"/>
    <w:rsid w:val="00C20B05"/>
    <w:rsid w:val="00C407EB"/>
    <w:rsid w:val="00C457C7"/>
    <w:rsid w:val="00C8306C"/>
    <w:rsid w:val="00C833E3"/>
    <w:rsid w:val="00C93749"/>
    <w:rsid w:val="00CA0606"/>
    <w:rsid w:val="00CB0DBB"/>
    <w:rsid w:val="00CB7350"/>
    <w:rsid w:val="00CE6AC2"/>
    <w:rsid w:val="00CF38AB"/>
    <w:rsid w:val="00CF3D86"/>
    <w:rsid w:val="00D243FC"/>
    <w:rsid w:val="00D627FD"/>
    <w:rsid w:val="00DB2732"/>
    <w:rsid w:val="00DE72F6"/>
    <w:rsid w:val="00E44042"/>
    <w:rsid w:val="00E470EA"/>
    <w:rsid w:val="00E477C0"/>
    <w:rsid w:val="00E9063E"/>
    <w:rsid w:val="00ED50A8"/>
    <w:rsid w:val="00F15F80"/>
    <w:rsid w:val="00F165D2"/>
    <w:rsid w:val="00F30237"/>
    <w:rsid w:val="00F47016"/>
    <w:rsid w:val="00F57C18"/>
    <w:rsid w:val="00F7410F"/>
    <w:rsid w:val="00F945C0"/>
    <w:rsid w:val="00FA2F5B"/>
    <w:rsid w:val="00FA7DCA"/>
    <w:rsid w:val="00FB6703"/>
    <w:rsid w:val="00FB6999"/>
    <w:rsid w:val="00FC0FA7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docId w15:val="{622EB553-1E57-4563-9410-EA264814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E9063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1308B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0">
    <w:name w:val="标题 6 字符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54631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46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46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465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03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2020-07-01T06:07:00Z</dcterms:created>
  <dcterms:modified xsi:type="dcterms:W3CDTF">2020-09-28T14:32:00Z</dcterms:modified>
</cp:coreProperties>
</file>