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78E79" w14:textId="6AC19C49" w:rsidR="006853B2" w:rsidRPr="00CC0838" w:rsidRDefault="006853B2" w:rsidP="007D7D01">
      <w:pPr>
        <w:spacing w:beforeLines="50" w:before="156" w:line="480" w:lineRule="atLeast"/>
        <w:rPr>
          <w:rFonts w:ascii="宋体" w:eastAsia="宋体" w:hAnsi="宋体" w:hint="eastAsia"/>
          <w:color w:val="000000" w:themeColor="text1"/>
          <w:sz w:val="24"/>
          <w:szCs w:val="24"/>
        </w:rPr>
      </w:pPr>
    </w:p>
    <w:p w14:paraId="0CAFC6FC" w14:textId="7FFFF36C" w:rsidR="008D5C7D" w:rsidRPr="00CC0838" w:rsidRDefault="00AB3988" w:rsidP="007D7D01">
      <w:pPr>
        <w:pStyle w:val="a3"/>
        <w:shd w:val="clear" w:color="auto" w:fill="FFFFFF"/>
        <w:spacing w:beforeLines="50" w:before="156" w:line="480" w:lineRule="atLeast"/>
        <w:ind w:firstLine="482"/>
        <w:jc w:val="center"/>
        <w:rPr>
          <w:color w:val="000000" w:themeColor="text1"/>
          <w:sz w:val="44"/>
          <w:szCs w:val="44"/>
        </w:rPr>
      </w:pPr>
      <w:r w:rsidRPr="00CC0838">
        <w:rPr>
          <w:color w:val="000000" w:themeColor="text1"/>
          <w:sz w:val="44"/>
          <w:szCs w:val="44"/>
        </w:rPr>
        <w:t>5</w:t>
      </w:r>
      <w:r w:rsidR="008D5C7D" w:rsidRPr="00CC0838">
        <w:rPr>
          <w:color w:val="000000" w:themeColor="text1"/>
          <w:sz w:val="44"/>
          <w:szCs w:val="44"/>
        </w:rPr>
        <w:t>.</w:t>
      </w:r>
      <w:r w:rsidR="000116EF" w:rsidRPr="00CC0838">
        <w:rPr>
          <w:color w:val="000000" w:themeColor="text1"/>
          <w:sz w:val="44"/>
          <w:szCs w:val="44"/>
        </w:rPr>
        <w:t>3</w:t>
      </w:r>
      <w:r w:rsidR="003811BF" w:rsidRPr="00CC0838">
        <w:rPr>
          <w:color w:val="000000" w:themeColor="text1"/>
          <w:sz w:val="44"/>
          <w:szCs w:val="44"/>
        </w:rPr>
        <w:t>.</w:t>
      </w:r>
      <w:r w:rsidR="004709B3">
        <w:rPr>
          <w:color w:val="000000" w:themeColor="text1"/>
          <w:sz w:val="44"/>
          <w:szCs w:val="44"/>
        </w:rPr>
        <w:t>1</w:t>
      </w:r>
      <w:r w:rsidR="00EC4063">
        <w:rPr>
          <w:color w:val="000000" w:themeColor="text1"/>
          <w:sz w:val="44"/>
          <w:szCs w:val="44"/>
        </w:rPr>
        <w:t>1</w:t>
      </w:r>
      <w:r w:rsidR="004709B3">
        <w:rPr>
          <w:color w:val="000000" w:themeColor="text1"/>
          <w:sz w:val="44"/>
          <w:szCs w:val="44"/>
        </w:rPr>
        <w:t>.1</w:t>
      </w:r>
      <w:r w:rsidR="005037B6" w:rsidRPr="00CC0838">
        <w:rPr>
          <w:color w:val="000000" w:themeColor="text1"/>
          <w:sz w:val="44"/>
          <w:szCs w:val="44"/>
        </w:rPr>
        <w:t xml:space="preserve">  </w:t>
      </w:r>
      <w:r w:rsidR="004709B3">
        <w:rPr>
          <w:rFonts w:hint="eastAsia"/>
          <w:color w:val="000000" w:themeColor="text1"/>
          <w:sz w:val="44"/>
          <w:szCs w:val="44"/>
        </w:rPr>
        <w:t>期货保税交割</w:t>
      </w:r>
    </w:p>
    <w:p w14:paraId="2B0ACE87" w14:textId="7380958E" w:rsidR="00BB0495" w:rsidRPr="00CC0838" w:rsidRDefault="00BB0495" w:rsidP="00F83366">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shd w:val="clear" w:color="auto" w:fill="FFFFFF"/>
        </w:rPr>
      </w:pPr>
    </w:p>
    <w:p w14:paraId="4F376086" w14:textId="77777777" w:rsidR="003056BA" w:rsidRPr="003056BA" w:rsidRDefault="003056BA" w:rsidP="003056BA">
      <w:pPr>
        <w:pStyle w:val="1"/>
        <w:spacing w:beforeLines="50" w:before="156" w:after="0" w:line="480" w:lineRule="atLeast"/>
        <w:rPr>
          <w:rFonts w:ascii="宋体" w:eastAsia="宋体" w:hAnsi="宋体"/>
          <w:sz w:val="24"/>
          <w:szCs w:val="24"/>
        </w:rPr>
      </w:pPr>
      <w:r w:rsidRPr="003056BA">
        <w:rPr>
          <w:rFonts w:ascii="宋体" w:eastAsia="宋体" w:hAnsi="宋体" w:hint="eastAsia"/>
          <w:sz w:val="24"/>
          <w:szCs w:val="24"/>
        </w:rPr>
        <w:t>一、支持货物期货市场对外开放增值税政策</w:t>
      </w:r>
    </w:p>
    <w:p w14:paraId="1A7EDC29" w14:textId="77777777" w:rsidR="003056BA" w:rsidRPr="003056BA" w:rsidRDefault="003056BA" w:rsidP="003056BA">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3056BA">
        <w:rPr>
          <w:rFonts w:ascii="宋体" w:eastAsia="宋体" w:hAnsi="宋体" w:cs="宋体" w:hint="eastAsia"/>
          <w:color w:val="000000" w:themeColor="text1"/>
          <w:kern w:val="0"/>
          <w:sz w:val="24"/>
          <w:szCs w:val="24"/>
        </w:rPr>
        <w:t>自2018年11月30日至2023年11月29日，对经国务院批准对外开放的货物期货品种保税交割业务，暂免征收增值税。</w:t>
      </w:r>
    </w:p>
    <w:p w14:paraId="0FD0BE74" w14:textId="6CFF1194" w:rsidR="003056BA" w:rsidRPr="003056BA" w:rsidRDefault="003056BA" w:rsidP="003056BA">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3056BA">
        <w:rPr>
          <w:rFonts w:ascii="宋体" w:eastAsia="宋体" w:hAnsi="宋体" w:cs="宋体" w:hint="eastAsia"/>
          <w:color w:val="000000" w:themeColor="text1"/>
          <w:kern w:val="0"/>
          <w:sz w:val="24"/>
          <w:szCs w:val="24"/>
        </w:rPr>
        <w:t>上述期货交易中实际交割的货物，如果发生进口或者出口的，统一按照现行货物进出口税收政策执行。非保税货物发生的期货实物交割</w:t>
      </w:r>
      <w:r w:rsidRPr="00584CB6">
        <w:rPr>
          <w:rFonts w:ascii="宋体" w:eastAsia="宋体" w:hAnsi="宋体" w:cs="宋体" w:hint="eastAsia"/>
          <w:color w:val="000000" w:themeColor="text1"/>
          <w:kern w:val="0"/>
          <w:sz w:val="24"/>
          <w:szCs w:val="24"/>
        </w:rPr>
        <w:t>仍按</w:t>
      </w:r>
      <w:r w:rsidR="00584CB6" w:rsidRPr="00584CB6">
        <w:rPr>
          <w:rFonts w:hint="eastAsia"/>
          <w:color w:val="333333"/>
          <w:sz w:val="24"/>
          <w:szCs w:val="24"/>
          <w:shd w:val="clear" w:color="auto" w:fill="FFFFFF"/>
        </w:rPr>
        <w:t>《国家税务总局关于下发＜货物期货征收增值税具体办法＞的通知》（</w:t>
      </w:r>
      <w:hyperlink r:id="rId7" w:tgtFrame="_self" w:history="1">
        <w:r w:rsidR="00584CB6" w:rsidRPr="00584CB6">
          <w:rPr>
            <w:rFonts w:hint="eastAsia"/>
            <w:color w:val="6E6E6E"/>
            <w:sz w:val="24"/>
            <w:szCs w:val="24"/>
            <w:u w:val="single"/>
            <w:shd w:val="clear" w:color="auto" w:fill="FFFFFF"/>
          </w:rPr>
          <w:t>国税发〔</w:t>
        </w:r>
        <w:r w:rsidR="00584CB6" w:rsidRPr="00584CB6">
          <w:rPr>
            <w:rFonts w:hint="eastAsia"/>
            <w:color w:val="6E6E6E"/>
            <w:sz w:val="24"/>
            <w:szCs w:val="24"/>
            <w:u w:val="single"/>
            <w:shd w:val="clear" w:color="auto" w:fill="FFFFFF"/>
          </w:rPr>
          <w:t>1994</w:t>
        </w:r>
        <w:r w:rsidR="00584CB6" w:rsidRPr="00584CB6">
          <w:rPr>
            <w:rFonts w:hint="eastAsia"/>
            <w:color w:val="6E6E6E"/>
            <w:sz w:val="24"/>
            <w:szCs w:val="24"/>
            <w:u w:val="single"/>
            <w:shd w:val="clear" w:color="auto" w:fill="FFFFFF"/>
          </w:rPr>
          <w:t>〕</w:t>
        </w:r>
        <w:r w:rsidR="00584CB6" w:rsidRPr="00584CB6">
          <w:rPr>
            <w:rFonts w:hint="eastAsia"/>
            <w:color w:val="6E6E6E"/>
            <w:sz w:val="24"/>
            <w:szCs w:val="24"/>
            <w:u w:val="single"/>
            <w:shd w:val="clear" w:color="auto" w:fill="FFFFFF"/>
          </w:rPr>
          <w:t>244</w:t>
        </w:r>
        <w:r w:rsidR="00584CB6" w:rsidRPr="00584CB6">
          <w:rPr>
            <w:rFonts w:hint="eastAsia"/>
            <w:color w:val="6E6E6E"/>
            <w:sz w:val="24"/>
            <w:szCs w:val="24"/>
            <w:u w:val="single"/>
            <w:shd w:val="clear" w:color="auto" w:fill="FFFFFF"/>
          </w:rPr>
          <w:t>号</w:t>
        </w:r>
      </w:hyperlink>
      <w:r w:rsidR="00584CB6" w:rsidRPr="00584CB6">
        <w:rPr>
          <w:rFonts w:hint="eastAsia"/>
          <w:color w:val="333333"/>
          <w:sz w:val="24"/>
          <w:szCs w:val="24"/>
          <w:shd w:val="clear" w:color="auto" w:fill="FFFFFF"/>
        </w:rPr>
        <w:t>）</w:t>
      </w:r>
      <w:r w:rsidRPr="00584CB6">
        <w:rPr>
          <w:rFonts w:ascii="宋体" w:eastAsia="宋体" w:hAnsi="宋体" w:cs="宋体" w:hint="eastAsia"/>
          <w:color w:val="000000" w:themeColor="text1"/>
          <w:kern w:val="0"/>
          <w:sz w:val="24"/>
          <w:szCs w:val="24"/>
        </w:rPr>
        <w:t>的规</w:t>
      </w:r>
      <w:r w:rsidRPr="003056BA">
        <w:rPr>
          <w:rFonts w:ascii="宋体" w:eastAsia="宋体" w:hAnsi="宋体" w:cs="宋体" w:hint="eastAsia"/>
          <w:color w:val="000000" w:themeColor="text1"/>
          <w:kern w:val="0"/>
          <w:sz w:val="24"/>
          <w:szCs w:val="24"/>
        </w:rPr>
        <w:t>定执行。</w:t>
      </w:r>
    </w:p>
    <w:p w14:paraId="56272C66" w14:textId="3D0A8544" w:rsidR="003056BA" w:rsidRPr="003056BA" w:rsidRDefault="003056BA" w:rsidP="003056BA">
      <w:pPr>
        <w:pStyle w:val="a3"/>
        <w:shd w:val="clear" w:color="auto" w:fill="FFFFFF"/>
        <w:spacing w:beforeLines="50" w:before="156" w:line="480" w:lineRule="atLeast"/>
        <w:ind w:firstLineChars="200" w:firstLine="480"/>
        <w:jc w:val="right"/>
        <w:rPr>
          <w:rStyle w:val="a9"/>
          <w:rFonts w:cstheme="minorBidi"/>
          <w:bCs w:val="0"/>
          <w:color w:val="000000" w:themeColor="text1"/>
          <w:kern w:val="44"/>
        </w:rPr>
      </w:pPr>
      <w:r w:rsidRPr="003056BA">
        <w:rPr>
          <w:rFonts w:hint="eastAsia"/>
          <w:color w:val="000000" w:themeColor="text1"/>
          <w:shd w:val="clear" w:color="auto" w:fill="FFFFFF"/>
        </w:rPr>
        <w:t>（</w:t>
      </w:r>
      <w:hyperlink r:id="rId8" w:history="1">
        <w:r w:rsidRPr="00584CB6">
          <w:rPr>
            <w:rStyle w:val="a4"/>
            <w:rFonts w:hint="eastAsia"/>
            <w:shd w:val="clear" w:color="auto" w:fill="FFFFFF"/>
          </w:rPr>
          <w:t>财政部 税务总局公告2020年第12号</w:t>
        </w:r>
      </w:hyperlink>
      <w:r w:rsidRPr="003056BA">
        <w:rPr>
          <w:rFonts w:hint="eastAsia"/>
          <w:color w:val="000000" w:themeColor="text1"/>
          <w:shd w:val="clear" w:color="auto" w:fill="FFFFFF"/>
        </w:rPr>
        <w:t>）</w:t>
      </w:r>
    </w:p>
    <w:p w14:paraId="37DF311A" w14:textId="77777777" w:rsidR="003056BA" w:rsidRPr="003056BA" w:rsidRDefault="003056BA" w:rsidP="003056BA">
      <w:pPr>
        <w:pStyle w:val="1"/>
        <w:spacing w:beforeLines="50" w:before="156" w:after="0" w:line="480" w:lineRule="atLeast"/>
        <w:rPr>
          <w:rFonts w:ascii="宋体" w:eastAsia="宋体" w:hAnsi="宋体"/>
          <w:sz w:val="24"/>
          <w:szCs w:val="24"/>
        </w:rPr>
      </w:pPr>
      <w:bookmarkStart w:id="0" w:name="_Toc12894943"/>
      <w:r w:rsidRPr="003056BA">
        <w:rPr>
          <w:rFonts w:ascii="宋体" w:eastAsia="宋体" w:hAnsi="宋体" w:hint="eastAsia"/>
          <w:sz w:val="24"/>
          <w:szCs w:val="24"/>
        </w:rPr>
        <w:t>二、上海期货交易所开展期货保税交割业务有关增值税问题</w:t>
      </w:r>
      <w:bookmarkEnd w:id="0"/>
    </w:p>
    <w:p w14:paraId="086B8971" w14:textId="77777777" w:rsidR="003056BA" w:rsidRPr="003056BA" w:rsidRDefault="003056BA" w:rsidP="003056BA">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3056BA">
        <w:rPr>
          <w:rFonts w:ascii="宋体" w:eastAsia="宋体" w:hAnsi="宋体" w:cs="宋体" w:hint="eastAsia"/>
          <w:color w:val="000000" w:themeColor="text1"/>
          <w:kern w:val="0"/>
          <w:sz w:val="24"/>
          <w:szCs w:val="24"/>
        </w:rPr>
        <w:t>根据《</w:t>
      </w:r>
      <w:hyperlink r:id="rId9" w:history="1">
        <w:r w:rsidRPr="003056BA">
          <w:rPr>
            <w:rFonts w:ascii="宋体" w:eastAsia="宋体" w:hAnsi="宋体" w:cs="宋体" w:hint="eastAsia"/>
            <w:color w:val="000000" w:themeColor="text1"/>
            <w:kern w:val="0"/>
            <w:sz w:val="24"/>
            <w:szCs w:val="24"/>
            <w:u w:val="single"/>
          </w:rPr>
          <w:t>国务院关于推进上海加快发展现代服务业和先进制造业建设国际金融中心和国际航运中心的意见</w:t>
        </w:r>
      </w:hyperlink>
      <w:r w:rsidRPr="003056BA">
        <w:rPr>
          <w:rFonts w:ascii="宋体" w:eastAsia="宋体" w:hAnsi="宋体" w:cs="宋体" w:hint="eastAsia"/>
          <w:color w:val="000000" w:themeColor="text1"/>
          <w:kern w:val="0"/>
          <w:sz w:val="24"/>
          <w:szCs w:val="24"/>
        </w:rPr>
        <w:t>》（</w:t>
      </w:r>
      <w:hyperlink r:id="rId10" w:history="1">
        <w:r w:rsidRPr="003056BA">
          <w:rPr>
            <w:rFonts w:ascii="宋体" w:eastAsia="宋体" w:hAnsi="宋体" w:cs="宋体" w:hint="eastAsia"/>
            <w:color w:val="000000" w:themeColor="text1"/>
            <w:kern w:val="0"/>
            <w:sz w:val="24"/>
            <w:szCs w:val="24"/>
            <w:u w:val="single"/>
          </w:rPr>
          <w:t>国发[2009]19号</w:t>
        </w:r>
      </w:hyperlink>
      <w:r w:rsidRPr="003056BA">
        <w:rPr>
          <w:rFonts w:ascii="宋体" w:eastAsia="宋体" w:hAnsi="宋体" w:cs="宋体" w:hint="eastAsia"/>
          <w:color w:val="000000" w:themeColor="text1"/>
          <w:kern w:val="0"/>
          <w:sz w:val="24"/>
          <w:szCs w:val="24"/>
        </w:rPr>
        <w:t>）有关精神，上海期货交易所将试点开展期货保税交割业务。现将有关增值税问题通知如下：</w:t>
      </w:r>
    </w:p>
    <w:p w14:paraId="2084631C" w14:textId="77777777" w:rsidR="003056BA" w:rsidRPr="003056BA" w:rsidRDefault="003056BA" w:rsidP="003056BA">
      <w:pPr>
        <w:pStyle w:val="2"/>
        <w:spacing w:beforeLines="50" w:before="156" w:after="0" w:line="480" w:lineRule="atLeast"/>
        <w:rPr>
          <w:rFonts w:ascii="宋体" w:eastAsia="宋体" w:hAnsi="宋体"/>
          <w:sz w:val="24"/>
          <w:szCs w:val="24"/>
        </w:rPr>
      </w:pPr>
      <w:bookmarkStart w:id="1" w:name="_Toc12894944"/>
      <w:r w:rsidRPr="003056BA">
        <w:rPr>
          <w:rFonts w:ascii="宋体" w:eastAsia="宋体" w:hAnsi="宋体" w:hint="eastAsia"/>
          <w:sz w:val="24"/>
          <w:szCs w:val="24"/>
        </w:rPr>
        <w:t>（一）政策内容</w:t>
      </w:r>
      <w:bookmarkEnd w:id="1"/>
    </w:p>
    <w:p w14:paraId="11DADF59" w14:textId="77777777" w:rsidR="003056BA" w:rsidRPr="003056BA" w:rsidRDefault="003056BA" w:rsidP="003056BA">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3056BA">
        <w:rPr>
          <w:rFonts w:ascii="宋体" w:eastAsia="宋体" w:hAnsi="宋体" w:cs="宋体" w:hint="eastAsia"/>
          <w:color w:val="000000" w:themeColor="text1"/>
          <w:kern w:val="0"/>
          <w:sz w:val="24"/>
          <w:szCs w:val="24"/>
        </w:rPr>
        <w:t>上海期货交易所的会员和客户通过上海期货交易所交易的期货保税交割标的物，仍按保税货物暂免征收增值税。</w:t>
      </w:r>
    </w:p>
    <w:p w14:paraId="14B71953" w14:textId="24B24C01" w:rsidR="003056BA" w:rsidRPr="003056BA" w:rsidRDefault="003056BA" w:rsidP="003056BA">
      <w:pPr>
        <w:widowControl/>
        <w:shd w:val="clear" w:color="auto" w:fill="FFFFFF"/>
        <w:spacing w:beforeLines="50" w:before="156" w:line="480" w:lineRule="atLeast"/>
        <w:ind w:firstLineChars="200" w:firstLine="480"/>
        <w:jc w:val="right"/>
        <w:rPr>
          <w:rFonts w:ascii="宋体" w:eastAsia="宋体" w:hAnsi="宋体"/>
          <w:color w:val="000000" w:themeColor="text1"/>
          <w:sz w:val="24"/>
          <w:szCs w:val="24"/>
          <w:shd w:val="clear" w:color="auto" w:fill="FFFFFF"/>
        </w:rPr>
      </w:pPr>
      <w:r w:rsidRPr="003056BA">
        <w:rPr>
          <w:rFonts w:ascii="宋体" w:eastAsia="宋体" w:hAnsi="宋体" w:hint="eastAsia"/>
          <w:color w:val="000000" w:themeColor="text1"/>
          <w:sz w:val="24"/>
          <w:szCs w:val="24"/>
          <w:shd w:val="clear" w:color="auto" w:fill="FFFFFF"/>
        </w:rPr>
        <w:t>（</w:t>
      </w:r>
      <w:bookmarkStart w:id="2" w:name="_Hlk52389028"/>
      <w:r w:rsidR="00584CB6">
        <w:rPr>
          <w:rFonts w:ascii="宋体" w:eastAsia="宋体" w:hAnsi="宋体"/>
          <w:sz w:val="24"/>
          <w:szCs w:val="24"/>
          <w:shd w:val="clear" w:color="auto" w:fill="FFFFFF"/>
        </w:rPr>
        <w:fldChar w:fldCharType="begin"/>
      </w:r>
      <w:r w:rsidR="00584CB6">
        <w:rPr>
          <w:rFonts w:ascii="宋体" w:eastAsia="宋体" w:hAnsi="宋体"/>
          <w:sz w:val="24"/>
          <w:szCs w:val="24"/>
          <w:shd w:val="clear" w:color="auto" w:fill="FFFFFF"/>
        </w:rPr>
        <w:instrText xml:space="preserve"> HYPERLINK "http://ssfb86.com/index/News/detail/newsid/1827.html" </w:instrText>
      </w:r>
      <w:r w:rsidR="00584CB6">
        <w:rPr>
          <w:rFonts w:ascii="宋体" w:eastAsia="宋体" w:hAnsi="宋体"/>
          <w:sz w:val="24"/>
          <w:szCs w:val="24"/>
          <w:shd w:val="clear" w:color="auto" w:fill="FFFFFF"/>
        </w:rPr>
      </w:r>
      <w:r w:rsidR="00584CB6">
        <w:rPr>
          <w:rFonts w:ascii="宋体" w:eastAsia="宋体" w:hAnsi="宋体"/>
          <w:sz w:val="24"/>
          <w:szCs w:val="24"/>
          <w:shd w:val="clear" w:color="auto" w:fill="FFFFFF"/>
        </w:rPr>
        <w:fldChar w:fldCharType="separate"/>
      </w:r>
      <w:r w:rsidRPr="00584CB6">
        <w:rPr>
          <w:rStyle w:val="a4"/>
          <w:rFonts w:ascii="宋体" w:eastAsia="宋体" w:hAnsi="宋体" w:hint="eastAsia"/>
          <w:sz w:val="24"/>
          <w:szCs w:val="24"/>
          <w:shd w:val="clear" w:color="auto" w:fill="FFFFFF"/>
        </w:rPr>
        <w:t>财税[2010]108号</w:t>
      </w:r>
      <w:r w:rsidR="00584CB6">
        <w:rPr>
          <w:rFonts w:ascii="宋体" w:eastAsia="宋体" w:hAnsi="宋体"/>
          <w:sz w:val="24"/>
          <w:szCs w:val="24"/>
          <w:shd w:val="clear" w:color="auto" w:fill="FFFFFF"/>
        </w:rPr>
        <w:fldChar w:fldCharType="end"/>
      </w:r>
      <w:bookmarkEnd w:id="2"/>
      <w:r w:rsidRPr="003056BA">
        <w:rPr>
          <w:rFonts w:ascii="宋体" w:eastAsia="宋体" w:hAnsi="宋体" w:hint="eastAsia"/>
          <w:color w:val="000000" w:themeColor="text1"/>
          <w:sz w:val="24"/>
          <w:szCs w:val="24"/>
          <w:shd w:val="clear" w:color="auto" w:fill="FFFFFF"/>
        </w:rPr>
        <w:t>第二条第一款）</w:t>
      </w:r>
    </w:p>
    <w:p w14:paraId="4F533D46" w14:textId="77777777" w:rsidR="003056BA" w:rsidRPr="003056BA" w:rsidRDefault="003056BA" w:rsidP="003056BA">
      <w:pPr>
        <w:pStyle w:val="2"/>
        <w:spacing w:beforeLines="50" w:before="156" w:after="0" w:line="480" w:lineRule="atLeast"/>
        <w:rPr>
          <w:rFonts w:ascii="宋体" w:eastAsia="宋体" w:hAnsi="宋体"/>
          <w:sz w:val="24"/>
          <w:szCs w:val="24"/>
        </w:rPr>
      </w:pPr>
      <w:bookmarkStart w:id="3" w:name="_Toc12894945"/>
      <w:r w:rsidRPr="003056BA">
        <w:rPr>
          <w:rFonts w:ascii="宋体" w:eastAsia="宋体" w:hAnsi="宋体" w:hint="eastAsia"/>
          <w:sz w:val="24"/>
          <w:szCs w:val="24"/>
        </w:rPr>
        <w:t>（二）提交资料</w:t>
      </w:r>
      <w:bookmarkEnd w:id="3"/>
    </w:p>
    <w:p w14:paraId="47628224" w14:textId="77777777" w:rsidR="003056BA" w:rsidRPr="003056BA" w:rsidRDefault="003056BA" w:rsidP="003056BA">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3056BA">
        <w:rPr>
          <w:rFonts w:ascii="宋体" w:eastAsia="宋体" w:hAnsi="宋体" w:cs="宋体" w:hint="eastAsia"/>
          <w:color w:val="000000" w:themeColor="text1"/>
          <w:kern w:val="0"/>
          <w:sz w:val="24"/>
          <w:szCs w:val="24"/>
        </w:rPr>
        <w:t>期货保税交割的销售方，在向主管税务机关申报纳税时，应出具当期期货保税交割的书面说明及上海期货交易所交割单、保税仓单等资料。</w:t>
      </w:r>
    </w:p>
    <w:p w14:paraId="29278582" w14:textId="66BD91A0" w:rsidR="003056BA" w:rsidRPr="003056BA" w:rsidRDefault="003056BA" w:rsidP="003056BA">
      <w:pPr>
        <w:widowControl/>
        <w:shd w:val="clear" w:color="auto" w:fill="FFFFFF"/>
        <w:spacing w:beforeLines="50" w:before="156" w:line="480" w:lineRule="atLeast"/>
        <w:ind w:firstLineChars="200" w:firstLine="480"/>
        <w:jc w:val="right"/>
        <w:rPr>
          <w:rFonts w:ascii="宋体" w:eastAsia="宋体" w:hAnsi="宋体"/>
          <w:color w:val="000000" w:themeColor="text1"/>
          <w:sz w:val="24"/>
          <w:szCs w:val="24"/>
          <w:shd w:val="clear" w:color="auto" w:fill="FFFFFF"/>
        </w:rPr>
      </w:pPr>
      <w:r w:rsidRPr="003056BA">
        <w:rPr>
          <w:rFonts w:ascii="宋体" w:eastAsia="宋体" w:hAnsi="宋体" w:hint="eastAsia"/>
          <w:color w:val="000000" w:themeColor="text1"/>
          <w:sz w:val="24"/>
          <w:szCs w:val="24"/>
          <w:shd w:val="clear" w:color="auto" w:fill="FFFFFF"/>
        </w:rPr>
        <w:t>（</w:t>
      </w:r>
      <w:hyperlink r:id="rId11" w:history="1">
        <w:r w:rsidR="00584CB6" w:rsidRPr="00584CB6">
          <w:rPr>
            <w:rStyle w:val="a4"/>
            <w:rFonts w:ascii="宋体" w:eastAsia="宋体" w:hAnsi="宋体" w:hint="eastAsia"/>
            <w:sz w:val="24"/>
            <w:szCs w:val="24"/>
            <w:shd w:val="clear" w:color="auto" w:fill="FFFFFF"/>
          </w:rPr>
          <w:t>财税[2010]108号</w:t>
        </w:r>
      </w:hyperlink>
      <w:r w:rsidRPr="003056BA">
        <w:rPr>
          <w:rFonts w:ascii="宋体" w:eastAsia="宋体" w:hAnsi="宋体" w:hint="eastAsia"/>
          <w:color w:val="000000" w:themeColor="text1"/>
          <w:sz w:val="24"/>
          <w:szCs w:val="24"/>
          <w:shd w:val="clear" w:color="auto" w:fill="FFFFFF"/>
        </w:rPr>
        <w:t>第二条第二款）</w:t>
      </w:r>
    </w:p>
    <w:p w14:paraId="6C398B50" w14:textId="77777777" w:rsidR="003056BA" w:rsidRPr="003056BA" w:rsidRDefault="003056BA" w:rsidP="003056BA">
      <w:pPr>
        <w:pStyle w:val="2"/>
        <w:spacing w:beforeLines="50" w:before="156" w:after="0" w:line="480" w:lineRule="atLeast"/>
        <w:rPr>
          <w:rFonts w:ascii="宋体" w:eastAsia="宋体" w:hAnsi="宋体"/>
          <w:sz w:val="24"/>
          <w:szCs w:val="24"/>
        </w:rPr>
      </w:pPr>
      <w:bookmarkStart w:id="4" w:name="_Toc12894946"/>
      <w:r w:rsidRPr="003056BA">
        <w:rPr>
          <w:rFonts w:ascii="宋体" w:eastAsia="宋体" w:hAnsi="宋体" w:hint="eastAsia"/>
          <w:sz w:val="24"/>
          <w:szCs w:val="24"/>
        </w:rPr>
        <w:lastRenderedPageBreak/>
        <w:t>（三）适用范围</w:t>
      </w:r>
      <w:bookmarkEnd w:id="4"/>
    </w:p>
    <w:p w14:paraId="76A27A04" w14:textId="77777777" w:rsidR="003056BA" w:rsidRPr="003056BA" w:rsidRDefault="003056BA" w:rsidP="003056BA">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3056BA">
        <w:rPr>
          <w:rFonts w:ascii="宋体" w:eastAsia="宋体" w:hAnsi="宋体" w:cs="宋体" w:hint="eastAsia"/>
          <w:color w:val="000000" w:themeColor="text1"/>
          <w:kern w:val="0"/>
          <w:sz w:val="24"/>
          <w:szCs w:val="24"/>
        </w:rPr>
        <w:t>期货保税交割是指以海关特殊监管区域或场所内处于保税监管状态的货物为期货实物交割标的物的期货实物交割。</w:t>
      </w:r>
    </w:p>
    <w:p w14:paraId="522FD254" w14:textId="5F637207" w:rsidR="003056BA" w:rsidRPr="003056BA" w:rsidRDefault="003056BA" w:rsidP="003056BA">
      <w:pPr>
        <w:widowControl/>
        <w:shd w:val="clear" w:color="auto" w:fill="FFFFFF"/>
        <w:spacing w:beforeLines="50" w:before="156" w:line="480" w:lineRule="atLeast"/>
        <w:ind w:firstLineChars="200" w:firstLine="480"/>
        <w:jc w:val="right"/>
        <w:rPr>
          <w:rFonts w:ascii="宋体" w:eastAsia="宋体" w:hAnsi="宋体"/>
          <w:color w:val="000000" w:themeColor="text1"/>
          <w:sz w:val="24"/>
          <w:szCs w:val="24"/>
          <w:shd w:val="clear" w:color="auto" w:fill="FFFFFF"/>
        </w:rPr>
      </w:pPr>
      <w:r w:rsidRPr="003056BA">
        <w:rPr>
          <w:rFonts w:ascii="宋体" w:eastAsia="宋体" w:hAnsi="宋体" w:hint="eastAsia"/>
          <w:color w:val="000000" w:themeColor="text1"/>
          <w:sz w:val="24"/>
          <w:szCs w:val="24"/>
          <w:shd w:val="clear" w:color="auto" w:fill="FFFFFF"/>
        </w:rPr>
        <w:t>（</w:t>
      </w:r>
      <w:hyperlink r:id="rId12" w:history="1">
        <w:r w:rsidR="00584CB6" w:rsidRPr="00584CB6">
          <w:rPr>
            <w:rStyle w:val="a4"/>
            <w:rFonts w:ascii="宋体" w:eastAsia="宋体" w:hAnsi="宋体" w:hint="eastAsia"/>
            <w:sz w:val="24"/>
            <w:szCs w:val="24"/>
            <w:shd w:val="clear" w:color="auto" w:fill="FFFFFF"/>
          </w:rPr>
          <w:t>财税[2010]108号</w:t>
        </w:r>
      </w:hyperlink>
      <w:r w:rsidRPr="003056BA">
        <w:rPr>
          <w:rFonts w:ascii="宋体" w:eastAsia="宋体" w:hAnsi="宋体" w:hint="eastAsia"/>
          <w:color w:val="000000" w:themeColor="text1"/>
          <w:sz w:val="24"/>
          <w:szCs w:val="24"/>
          <w:shd w:val="clear" w:color="auto" w:fill="FFFFFF"/>
        </w:rPr>
        <w:t>第一条）</w:t>
      </w:r>
    </w:p>
    <w:p w14:paraId="0FA4C97E" w14:textId="2CC99B7F" w:rsidR="003056BA" w:rsidRPr="003056BA" w:rsidRDefault="003056BA" w:rsidP="003056BA">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3056BA">
        <w:rPr>
          <w:rFonts w:ascii="宋体" w:eastAsia="宋体" w:hAnsi="宋体" w:cs="宋体" w:hint="eastAsia"/>
          <w:color w:val="000000" w:themeColor="text1"/>
          <w:kern w:val="0"/>
          <w:sz w:val="24"/>
          <w:szCs w:val="24"/>
        </w:rPr>
        <w:t>非保税货物发生的期货实物交割仍</w:t>
      </w:r>
      <w:r w:rsidRPr="00B04BBD">
        <w:rPr>
          <w:rFonts w:ascii="宋体" w:eastAsia="宋体" w:hAnsi="宋体" w:cs="宋体" w:hint="eastAsia"/>
          <w:color w:val="000000" w:themeColor="text1"/>
          <w:kern w:val="0"/>
          <w:sz w:val="24"/>
          <w:szCs w:val="24"/>
        </w:rPr>
        <w:t>按</w:t>
      </w:r>
      <w:r w:rsidR="00B04BBD" w:rsidRPr="00B04BBD">
        <w:rPr>
          <w:rFonts w:hint="eastAsia"/>
          <w:color w:val="333333"/>
          <w:sz w:val="24"/>
          <w:szCs w:val="24"/>
          <w:shd w:val="clear" w:color="auto" w:fill="FFFFFF"/>
        </w:rPr>
        <w:t>《国家税务总局关于下发〈货物期货征收增值税具体办法〉的通知》（</w:t>
      </w:r>
      <w:hyperlink r:id="rId13" w:tgtFrame="_self" w:history="1">
        <w:r w:rsidR="00B04BBD" w:rsidRPr="00B04BBD">
          <w:rPr>
            <w:rFonts w:hint="eastAsia"/>
            <w:color w:val="6E6E6E"/>
            <w:sz w:val="24"/>
            <w:szCs w:val="24"/>
            <w:u w:val="single"/>
            <w:shd w:val="clear" w:color="auto" w:fill="FFFFFF"/>
          </w:rPr>
          <w:t>国税发</w:t>
        </w:r>
        <w:r w:rsidR="00B04BBD" w:rsidRPr="00B04BBD">
          <w:rPr>
            <w:rFonts w:hint="eastAsia"/>
            <w:color w:val="6E6E6E"/>
            <w:sz w:val="24"/>
            <w:szCs w:val="24"/>
            <w:u w:val="single"/>
            <w:shd w:val="clear" w:color="auto" w:fill="FFFFFF"/>
          </w:rPr>
          <w:t>[1994]244</w:t>
        </w:r>
        <w:r w:rsidR="00B04BBD" w:rsidRPr="00B04BBD">
          <w:rPr>
            <w:rFonts w:hint="eastAsia"/>
            <w:color w:val="6E6E6E"/>
            <w:sz w:val="24"/>
            <w:szCs w:val="24"/>
            <w:u w:val="single"/>
            <w:shd w:val="clear" w:color="auto" w:fill="FFFFFF"/>
          </w:rPr>
          <w:t>号</w:t>
        </w:r>
      </w:hyperlink>
      <w:r w:rsidR="00B04BBD" w:rsidRPr="00B04BBD">
        <w:rPr>
          <w:rFonts w:hint="eastAsia"/>
          <w:color w:val="333333"/>
          <w:sz w:val="24"/>
          <w:szCs w:val="24"/>
          <w:shd w:val="clear" w:color="auto" w:fill="FFFFFF"/>
        </w:rPr>
        <w:t>）</w:t>
      </w:r>
      <w:r w:rsidRPr="00B04BBD">
        <w:rPr>
          <w:rFonts w:ascii="宋体" w:eastAsia="宋体" w:hAnsi="宋体" w:cs="宋体" w:hint="eastAsia"/>
          <w:color w:val="000000" w:themeColor="text1"/>
          <w:kern w:val="0"/>
          <w:sz w:val="24"/>
          <w:szCs w:val="24"/>
        </w:rPr>
        <w:t>的</w:t>
      </w:r>
      <w:r w:rsidRPr="003056BA">
        <w:rPr>
          <w:rFonts w:ascii="宋体" w:eastAsia="宋体" w:hAnsi="宋体" w:cs="宋体" w:hint="eastAsia"/>
          <w:color w:val="000000" w:themeColor="text1"/>
          <w:kern w:val="0"/>
          <w:sz w:val="24"/>
          <w:szCs w:val="24"/>
        </w:rPr>
        <w:t>规定执行。</w:t>
      </w:r>
    </w:p>
    <w:p w14:paraId="3FD2AC9B" w14:textId="63A92DC1" w:rsidR="003056BA" w:rsidRPr="003056BA" w:rsidRDefault="003056BA" w:rsidP="003056BA">
      <w:pPr>
        <w:widowControl/>
        <w:shd w:val="clear" w:color="auto" w:fill="FFFFFF"/>
        <w:spacing w:beforeLines="50" w:before="156" w:line="480" w:lineRule="atLeast"/>
        <w:ind w:firstLineChars="200" w:firstLine="480"/>
        <w:jc w:val="right"/>
        <w:rPr>
          <w:rFonts w:ascii="宋体" w:eastAsia="宋体" w:hAnsi="宋体"/>
          <w:color w:val="000000" w:themeColor="text1"/>
          <w:sz w:val="24"/>
          <w:szCs w:val="24"/>
          <w:shd w:val="clear" w:color="auto" w:fill="FFFFFF"/>
        </w:rPr>
      </w:pPr>
      <w:r w:rsidRPr="003056BA">
        <w:rPr>
          <w:rFonts w:ascii="宋体" w:eastAsia="宋体" w:hAnsi="宋体" w:hint="eastAsia"/>
          <w:color w:val="000000" w:themeColor="text1"/>
          <w:sz w:val="24"/>
          <w:szCs w:val="24"/>
          <w:shd w:val="clear" w:color="auto" w:fill="FFFFFF"/>
        </w:rPr>
        <w:t>（</w:t>
      </w:r>
      <w:hyperlink r:id="rId14" w:history="1">
        <w:r w:rsidR="00584CB6" w:rsidRPr="00584CB6">
          <w:rPr>
            <w:rStyle w:val="a4"/>
            <w:rFonts w:ascii="宋体" w:eastAsia="宋体" w:hAnsi="宋体" w:hint="eastAsia"/>
            <w:sz w:val="24"/>
            <w:szCs w:val="24"/>
            <w:shd w:val="clear" w:color="auto" w:fill="FFFFFF"/>
          </w:rPr>
          <w:t>财税[2010]108号</w:t>
        </w:r>
      </w:hyperlink>
      <w:r w:rsidRPr="003056BA">
        <w:rPr>
          <w:rFonts w:ascii="宋体" w:eastAsia="宋体" w:hAnsi="宋体" w:hint="eastAsia"/>
          <w:color w:val="000000" w:themeColor="text1"/>
          <w:sz w:val="24"/>
          <w:szCs w:val="24"/>
          <w:shd w:val="clear" w:color="auto" w:fill="FFFFFF"/>
        </w:rPr>
        <w:t>第三条）</w:t>
      </w:r>
    </w:p>
    <w:p w14:paraId="10349B3E" w14:textId="77777777" w:rsidR="003056BA" w:rsidRPr="003056BA" w:rsidRDefault="003056BA" w:rsidP="003056BA">
      <w:pPr>
        <w:pStyle w:val="2"/>
        <w:spacing w:beforeLines="50" w:before="156" w:after="0" w:line="480" w:lineRule="atLeast"/>
        <w:rPr>
          <w:rFonts w:ascii="宋体" w:eastAsia="宋体" w:hAnsi="宋体"/>
          <w:sz w:val="24"/>
          <w:szCs w:val="24"/>
        </w:rPr>
      </w:pPr>
      <w:bookmarkStart w:id="5" w:name="_Toc12894947"/>
      <w:r w:rsidRPr="003056BA">
        <w:rPr>
          <w:rFonts w:ascii="宋体" w:eastAsia="宋体" w:hAnsi="宋体" w:hint="eastAsia"/>
          <w:sz w:val="24"/>
          <w:szCs w:val="24"/>
        </w:rPr>
        <w:t>（四）执行日期</w:t>
      </w:r>
      <w:bookmarkEnd w:id="5"/>
    </w:p>
    <w:p w14:paraId="4D344056" w14:textId="77777777" w:rsidR="003056BA" w:rsidRPr="003056BA" w:rsidRDefault="003056BA" w:rsidP="003056BA">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3056BA">
        <w:rPr>
          <w:rFonts w:ascii="宋体" w:eastAsia="宋体" w:hAnsi="宋体" w:cs="宋体" w:hint="eastAsia"/>
          <w:color w:val="000000" w:themeColor="text1"/>
          <w:kern w:val="0"/>
          <w:sz w:val="24"/>
          <w:szCs w:val="24"/>
        </w:rPr>
        <w:t>本通知自2010年12月1日起执行。</w:t>
      </w:r>
    </w:p>
    <w:p w14:paraId="68950087" w14:textId="65A64A16" w:rsidR="003056BA" w:rsidRPr="003056BA" w:rsidRDefault="003056BA" w:rsidP="003056BA">
      <w:pPr>
        <w:widowControl/>
        <w:shd w:val="clear" w:color="auto" w:fill="FFFFFF"/>
        <w:spacing w:beforeLines="50" w:before="156" w:line="480" w:lineRule="atLeast"/>
        <w:ind w:firstLineChars="200" w:firstLine="480"/>
        <w:jc w:val="right"/>
        <w:rPr>
          <w:rFonts w:ascii="宋体" w:eastAsia="宋体" w:hAnsi="宋体"/>
          <w:color w:val="000000" w:themeColor="text1"/>
          <w:sz w:val="24"/>
          <w:szCs w:val="24"/>
          <w:shd w:val="clear" w:color="auto" w:fill="FFFFFF"/>
        </w:rPr>
      </w:pPr>
      <w:r w:rsidRPr="003056BA">
        <w:rPr>
          <w:rFonts w:ascii="宋体" w:eastAsia="宋体" w:hAnsi="宋体" w:hint="eastAsia"/>
          <w:color w:val="000000" w:themeColor="text1"/>
          <w:sz w:val="24"/>
          <w:szCs w:val="24"/>
          <w:shd w:val="clear" w:color="auto" w:fill="FFFFFF"/>
        </w:rPr>
        <w:t>（</w:t>
      </w:r>
      <w:hyperlink r:id="rId15" w:history="1">
        <w:r w:rsidR="00584CB6" w:rsidRPr="00584CB6">
          <w:rPr>
            <w:rStyle w:val="a4"/>
            <w:rFonts w:ascii="宋体" w:eastAsia="宋体" w:hAnsi="宋体" w:hint="eastAsia"/>
            <w:sz w:val="24"/>
            <w:szCs w:val="24"/>
            <w:shd w:val="clear" w:color="auto" w:fill="FFFFFF"/>
          </w:rPr>
          <w:t>财税[2010]108号</w:t>
        </w:r>
      </w:hyperlink>
      <w:r w:rsidRPr="003056BA">
        <w:rPr>
          <w:rFonts w:ascii="宋体" w:eastAsia="宋体" w:hAnsi="宋体" w:hint="eastAsia"/>
          <w:color w:val="000000" w:themeColor="text1"/>
          <w:sz w:val="24"/>
          <w:szCs w:val="24"/>
          <w:shd w:val="clear" w:color="auto" w:fill="FFFFFF"/>
        </w:rPr>
        <w:t>第四条）</w:t>
      </w:r>
    </w:p>
    <w:p w14:paraId="37421A5A" w14:textId="77777777" w:rsidR="003056BA" w:rsidRPr="003056BA" w:rsidRDefault="003056BA" w:rsidP="003056BA">
      <w:pPr>
        <w:pStyle w:val="1"/>
        <w:spacing w:beforeLines="50" w:before="156" w:after="0" w:line="480" w:lineRule="atLeast"/>
        <w:rPr>
          <w:rFonts w:ascii="宋体" w:eastAsia="宋体" w:hAnsi="宋体"/>
          <w:sz w:val="24"/>
          <w:szCs w:val="24"/>
        </w:rPr>
      </w:pPr>
      <w:bookmarkStart w:id="6" w:name="_Toc12894948"/>
      <w:r w:rsidRPr="003056BA">
        <w:rPr>
          <w:rFonts w:ascii="宋体" w:eastAsia="宋体" w:hAnsi="宋体" w:hint="eastAsia"/>
          <w:sz w:val="24"/>
          <w:szCs w:val="24"/>
        </w:rPr>
        <w:t>三、原油和铁矿石期货保税交割业务增值税政策</w:t>
      </w:r>
      <w:bookmarkEnd w:id="6"/>
    </w:p>
    <w:p w14:paraId="7DF9CA54" w14:textId="77777777" w:rsidR="003056BA" w:rsidRPr="003056BA" w:rsidRDefault="003056BA" w:rsidP="003056BA">
      <w:pPr>
        <w:pStyle w:val="2"/>
        <w:spacing w:beforeLines="50" w:before="156" w:after="0" w:line="480" w:lineRule="atLeast"/>
        <w:rPr>
          <w:rFonts w:ascii="宋体" w:eastAsia="宋体" w:hAnsi="宋体"/>
          <w:sz w:val="24"/>
          <w:szCs w:val="24"/>
        </w:rPr>
      </w:pPr>
      <w:bookmarkStart w:id="7" w:name="_Toc12894949"/>
      <w:r w:rsidRPr="003056BA">
        <w:rPr>
          <w:rFonts w:ascii="宋体" w:eastAsia="宋体" w:hAnsi="宋体" w:hint="eastAsia"/>
          <w:sz w:val="24"/>
          <w:szCs w:val="24"/>
        </w:rPr>
        <w:t>（一）政策内容</w:t>
      </w:r>
      <w:bookmarkEnd w:id="7"/>
    </w:p>
    <w:p w14:paraId="72D3FE56" w14:textId="77777777" w:rsidR="003056BA" w:rsidRPr="003056BA" w:rsidRDefault="003056BA" w:rsidP="003056BA">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3056BA">
        <w:rPr>
          <w:rFonts w:ascii="宋体" w:eastAsia="宋体" w:hAnsi="宋体" w:cs="宋体" w:hint="eastAsia"/>
          <w:color w:val="000000" w:themeColor="text1"/>
          <w:kern w:val="0"/>
          <w:sz w:val="24"/>
          <w:szCs w:val="24"/>
        </w:rPr>
        <w:t>1.上海国际能源交易中心股份有限公司的会员和客户通过上海国际能源交易中心股份有限公司交易的原油期货保税交割业务，大连商品交易所的会员和客户通过大连商品交易所交易的铁矿石期货保税交割业务，暂免征收增值税。</w:t>
      </w:r>
    </w:p>
    <w:p w14:paraId="49D112F7" w14:textId="6D7D0ED4" w:rsidR="003056BA" w:rsidRPr="003056BA" w:rsidRDefault="003056BA" w:rsidP="003056BA">
      <w:pPr>
        <w:spacing w:beforeLines="50" w:before="156" w:line="480" w:lineRule="atLeast"/>
        <w:jc w:val="right"/>
        <w:rPr>
          <w:rFonts w:ascii="宋体" w:eastAsia="宋体" w:hAnsi="宋体"/>
          <w:color w:val="000000" w:themeColor="text1"/>
          <w:sz w:val="24"/>
          <w:szCs w:val="24"/>
        </w:rPr>
      </w:pPr>
      <w:bookmarkStart w:id="8" w:name="_Hlk8677505"/>
      <w:r w:rsidRPr="003056BA">
        <w:rPr>
          <w:rFonts w:ascii="宋体" w:eastAsia="宋体" w:hAnsi="宋体" w:hint="eastAsia"/>
          <w:color w:val="000000" w:themeColor="text1"/>
          <w:sz w:val="24"/>
          <w:szCs w:val="24"/>
        </w:rPr>
        <w:t>（</w:t>
      </w:r>
      <w:bookmarkStart w:id="9" w:name="_Hlk52389127"/>
      <w:r w:rsidR="00B04BBD">
        <w:rPr>
          <w:rFonts w:ascii="宋体" w:eastAsia="宋体" w:hAnsi="宋体"/>
          <w:sz w:val="24"/>
          <w:szCs w:val="24"/>
        </w:rPr>
        <w:fldChar w:fldCharType="begin"/>
      </w:r>
      <w:r w:rsidR="00B04BBD">
        <w:rPr>
          <w:rFonts w:ascii="宋体" w:eastAsia="宋体" w:hAnsi="宋体"/>
          <w:sz w:val="24"/>
          <w:szCs w:val="24"/>
        </w:rPr>
        <w:instrText xml:space="preserve"> HYPERLINK "http://ssfb86.com/index/News/detail/newsid/1021.html" </w:instrText>
      </w:r>
      <w:r w:rsidR="00B04BBD">
        <w:rPr>
          <w:rFonts w:ascii="宋体" w:eastAsia="宋体" w:hAnsi="宋体"/>
          <w:sz w:val="24"/>
          <w:szCs w:val="24"/>
        </w:rPr>
      </w:r>
      <w:r w:rsidR="00B04BBD">
        <w:rPr>
          <w:rFonts w:ascii="宋体" w:eastAsia="宋体" w:hAnsi="宋体"/>
          <w:sz w:val="24"/>
          <w:szCs w:val="24"/>
        </w:rPr>
        <w:fldChar w:fldCharType="separate"/>
      </w:r>
      <w:r w:rsidRPr="00B04BBD">
        <w:rPr>
          <w:rStyle w:val="a4"/>
          <w:rFonts w:ascii="宋体" w:eastAsia="宋体" w:hAnsi="宋体" w:hint="eastAsia"/>
          <w:sz w:val="24"/>
          <w:szCs w:val="24"/>
        </w:rPr>
        <w:t>财税〔2015〕35号</w:t>
      </w:r>
      <w:r w:rsidR="00B04BBD">
        <w:rPr>
          <w:rFonts w:ascii="宋体" w:eastAsia="宋体" w:hAnsi="宋体"/>
          <w:sz w:val="24"/>
          <w:szCs w:val="24"/>
        </w:rPr>
        <w:fldChar w:fldCharType="end"/>
      </w:r>
      <w:bookmarkEnd w:id="9"/>
      <w:r w:rsidRPr="003056BA">
        <w:rPr>
          <w:rFonts w:ascii="宋体" w:eastAsia="宋体" w:hAnsi="宋体" w:hint="eastAsia"/>
          <w:color w:val="000000" w:themeColor="text1"/>
          <w:sz w:val="24"/>
          <w:szCs w:val="24"/>
        </w:rPr>
        <w:t>第一条）</w:t>
      </w:r>
    </w:p>
    <w:bookmarkEnd w:id="8"/>
    <w:p w14:paraId="74D172F5" w14:textId="6D7DA96C" w:rsidR="003056BA" w:rsidRPr="003056BA" w:rsidRDefault="003056BA" w:rsidP="003056BA">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3056BA">
        <w:rPr>
          <w:rFonts w:ascii="宋体" w:eastAsia="宋体" w:hAnsi="宋体" w:cs="宋体" w:hint="eastAsia"/>
          <w:color w:val="000000" w:themeColor="text1"/>
          <w:kern w:val="0"/>
          <w:sz w:val="24"/>
          <w:szCs w:val="24"/>
        </w:rPr>
        <w:t>2</w:t>
      </w:r>
      <w:r w:rsidRPr="003056BA">
        <w:rPr>
          <w:rFonts w:ascii="宋体" w:eastAsia="宋体" w:hAnsi="宋体" w:cs="宋体"/>
          <w:color w:val="000000" w:themeColor="text1"/>
          <w:kern w:val="0"/>
          <w:sz w:val="24"/>
          <w:szCs w:val="24"/>
        </w:rPr>
        <w:t>.</w:t>
      </w:r>
      <w:r w:rsidRPr="003056BA">
        <w:rPr>
          <w:rFonts w:ascii="宋体" w:eastAsia="宋体" w:hAnsi="宋体" w:cs="宋体" w:hint="eastAsia"/>
          <w:color w:val="000000" w:themeColor="text1"/>
          <w:kern w:val="0"/>
          <w:sz w:val="24"/>
          <w:szCs w:val="24"/>
        </w:rPr>
        <w:t>上述期货交易中实际交割的原油和铁矿石，如果发生进口或者出口的，统一按照现行货物进出口税收政策执行。非保税货物发生的期货实物交割仍按</w:t>
      </w:r>
      <w:r w:rsidR="00B04BBD" w:rsidRPr="00B04BBD">
        <w:rPr>
          <w:rFonts w:hint="eastAsia"/>
          <w:color w:val="333333"/>
          <w:sz w:val="24"/>
          <w:szCs w:val="24"/>
          <w:shd w:val="clear" w:color="auto" w:fill="FFFFFF"/>
        </w:rPr>
        <w:t>《国家税务总局关于下发</w:t>
      </w:r>
      <w:r w:rsidR="00B04BBD" w:rsidRPr="00B04BBD">
        <w:rPr>
          <w:rFonts w:hint="eastAsia"/>
          <w:color w:val="333333"/>
          <w:sz w:val="24"/>
          <w:szCs w:val="24"/>
          <w:shd w:val="clear" w:color="auto" w:fill="FFFFFF"/>
        </w:rPr>
        <w:t>&lt;</w:t>
      </w:r>
      <w:r w:rsidR="00B04BBD" w:rsidRPr="00B04BBD">
        <w:rPr>
          <w:rFonts w:hint="eastAsia"/>
          <w:color w:val="333333"/>
          <w:sz w:val="24"/>
          <w:szCs w:val="24"/>
          <w:shd w:val="clear" w:color="auto" w:fill="FFFFFF"/>
        </w:rPr>
        <w:t>货物期货征收增值税具体办法</w:t>
      </w:r>
      <w:r w:rsidR="00B04BBD" w:rsidRPr="00B04BBD">
        <w:rPr>
          <w:rFonts w:hint="eastAsia"/>
          <w:color w:val="333333"/>
          <w:sz w:val="24"/>
          <w:szCs w:val="24"/>
          <w:shd w:val="clear" w:color="auto" w:fill="FFFFFF"/>
        </w:rPr>
        <w:t>&gt;</w:t>
      </w:r>
      <w:r w:rsidR="00B04BBD" w:rsidRPr="00B04BBD">
        <w:rPr>
          <w:rFonts w:hint="eastAsia"/>
          <w:color w:val="333333"/>
          <w:sz w:val="24"/>
          <w:szCs w:val="24"/>
          <w:shd w:val="clear" w:color="auto" w:fill="FFFFFF"/>
        </w:rPr>
        <w:t>的通知》（</w:t>
      </w:r>
      <w:hyperlink r:id="rId16" w:tgtFrame="_self" w:history="1">
        <w:r w:rsidR="00B04BBD" w:rsidRPr="00B04BBD">
          <w:rPr>
            <w:rFonts w:hint="eastAsia"/>
            <w:color w:val="6E6E6E"/>
            <w:sz w:val="24"/>
            <w:szCs w:val="24"/>
            <w:u w:val="single"/>
            <w:shd w:val="clear" w:color="auto" w:fill="FFFFFF"/>
          </w:rPr>
          <w:t>国税发〔</w:t>
        </w:r>
        <w:r w:rsidR="00B04BBD" w:rsidRPr="00B04BBD">
          <w:rPr>
            <w:rFonts w:hint="eastAsia"/>
            <w:color w:val="6E6E6E"/>
            <w:sz w:val="24"/>
            <w:szCs w:val="24"/>
            <w:u w:val="single"/>
            <w:shd w:val="clear" w:color="auto" w:fill="FFFFFF"/>
          </w:rPr>
          <w:t>1994</w:t>
        </w:r>
        <w:r w:rsidR="00B04BBD" w:rsidRPr="00B04BBD">
          <w:rPr>
            <w:rFonts w:hint="eastAsia"/>
            <w:color w:val="6E6E6E"/>
            <w:sz w:val="24"/>
            <w:szCs w:val="24"/>
            <w:u w:val="single"/>
            <w:shd w:val="clear" w:color="auto" w:fill="FFFFFF"/>
          </w:rPr>
          <w:t>〕</w:t>
        </w:r>
        <w:r w:rsidR="00B04BBD" w:rsidRPr="00B04BBD">
          <w:rPr>
            <w:rFonts w:hint="eastAsia"/>
            <w:color w:val="6E6E6E"/>
            <w:sz w:val="24"/>
            <w:szCs w:val="24"/>
            <w:u w:val="single"/>
            <w:shd w:val="clear" w:color="auto" w:fill="FFFFFF"/>
          </w:rPr>
          <w:t>244</w:t>
        </w:r>
        <w:r w:rsidR="00B04BBD" w:rsidRPr="00B04BBD">
          <w:rPr>
            <w:rFonts w:hint="eastAsia"/>
            <w:color w:val="6E6E6E"/>
            <w:sz w:val="24"/>
            <w:szCs w:val="24"/>
            <w:u w:val="single"/>
            <w:shd w:val="clear" w:color="auto" w:fill="FFFFFF"/>
          </w:rPr>
          <w:t>号</w:t>
        </w:r>
      </w:hyperlink>
      <w:r w:rsidR="00B04BBD" w:rsidRPr="00B04BBD">
        <w:rPr>
          <w:rFonts w:hint="eastAsia"/>
          <w:color w:val="333333"/>
          <w:sz w:val="24"/>
          <w:szCs w:val="24"/>
          <w:shd w:val="clear" w:color="auto" w:fill="FFFFFF"/>
        </w:rPr>
        <w:t>）</w:t>
      </w:r>
      <w:r w:rsidRPr="003056BA">
        <w:rPr>
          <w:rFonts w:ascii="宋体" w:eastAsia="宋体" w:hAnsi="宋体" w:cs="宋体" w:hint="eastAsia"/>
          <w:color w:val="000000" w:themeColor="text1"/>
          <w:kern w:val="0"/>
          <w:sz w:val="24"/>
          <w:szCs w:val="24"/>
        </w:rPr>
        <w:t>的规定执行。</w:t>
      </w:r>
    </w:p>
    <w:p w14:paraId="22340A0E" w14:textId="25D59B31" w:rsidR="003056BA" w:rsidRPr="003056BA" w:rsidRDefault="003056BA" w:rsidP="003056BA">
      <w:pPr>
        <w:spacing w:beforeLines="50" w:before="156" w:line="480" w:lineRule="atLeast"/>
        <w:jc w:val="right"/>
        <w:rPr>
          <w:rFonts w:ascii="宋体" w:eastAsia="宋体" w:hAnsi="宋体"/>
          <w:color w:val="000000" w:themeColor="text1"/>
          <w:sz w:val="24"/>
          <w:szCs w:val="24"/>
        </w:rPr>
      </w:pPr>
      <w:r w:rsidRPr="003056BA">
        <w:rPr>
          <w:rFonts w:ascii="宋体" w:eastAsia="宋体" w:hAnsi="宋体" w:hint="eastAsia"/>
          <w:color w:val="000000" w:themeColor="text1"/>
          <w:sz w:val="24"/>
          <w:szCs w:val="24"/>
        </w:rPr>
        <w:t>（</w:t>
      </w:r>
      <w:hyperlink r:id="rId17" w:history="1">
        <w:r w:rsidR="00B04BBD" w:rsidRPr="00B04BBD">
          <w:rPr>
            <w:rStyle w:val="a4"/>
            <w:rFonts w:ascii="宋体" w:eastAsia="宋体" w:hAnsi="宋体" w:hint="eastAsia"/>
            <w:sz w:val="24"/>
            <w:szCs w:val="24"/>
          </w:rPr>
          <w:t>财税〔2015〕35号</w:t>
        </w:r>
      </w:hyperlink>
      <w:r w:rsidRPr="003056BA">
        <w:rPr>
          <w:rFonts w:ascii="宋体" w:eastAsia="宋体" w:hAnsi="宋体" w:hint="eastAsia"/>
          <w:color w:val="000000" w:themeColor="text1"/>
          <w:sz w:val="24"/>
          <w:szCs w:val="24"/>
        </w:rPr>
        <w:t>第三条）</w:t>
      </w:r>
    </w:p>
    <w:p w14:paraId="4172880A" w14:textId="77777777" w:rsidR="003056BA" w:rsidRPr="003056BA" w:rsidRDefault="003056BA" w:rsidP="003056BA">
      <w:pPr>
        <w:pStyle w:val="2"/>
        <w:spacing w:beforeLines="50" w:before="156" w:after="0" w:line="480" w:lineRule="atLeast"/>
        <w:rPr>
          <w:rFonts w:ascii="宋体" w:eastAsia="宋体" w:hAnsi="宋体"/>
          <w:sz w:val="24"/>
          <w:szCs w:val="24"/>
        </w:rPr>
      </w:pPr>
      <w:bookmarkStart w:id="10" w:name="_Toc12894950"/>
      <w:r w:rsidRPr="003056BA">
        <w:rPr>
          <w:rFonts w:ascii="宋体" w:eastAsia="宋体" w:hAnsi="宋体" w:hint="eastAsia"/>
          <w:sz w:val="24"/>
          <w:szCs w:val="24"/>
        </w:rPr>
        <w:lastRenderedPageBreak/>
        <w:t>（二）主要概念</w:t>
      </w:r>
      <w:bookmarkEnd w:id="10"/>
    </w:p>
    <w:p w14:paraId="61D9B003" w14:textId="77777777" w:rsidR="003056BA" w:rsidRPr="003056BA" w:rsidRDefault="003056BA" w:rsidP="003056BA">
      <w:pPr>
        <w:pStyle w:val="3"/>
        <w:spacing w:beforeLines="50" w:before="156" w:after="0" w:line="480" w:lineRule="atLeast"/>
        <w:rPr>
          <w:rFonts w:ascii="宋体" w:eastAsia="宋体" w:hAnsi="宋体"/>
          <w:sz w:val="24"/>
          <w:szCs w:val="24"/>
        </w:rPr>
      </w:pPr>
      <w:bookmarkStart w:id="11" w:name="_Toc12894951"/>
      <w:r w:rsidRPr="003056BA">
        <w:rPr>
          <w:rFonts w:ascii="宋体" w:eastAsia="宋体" w:hAnsi="宋体" w:hint="eastAsia"/>
          <w:sz w:val="24"/>
          <w:szCs w:val="24"/>
        </w:rPr>
        <w:t>1</w:t>
      </w:r>
      <w:r w:rsidRPr="003056BA">
        <w:rPr>
          <w:rFonts w:ascii="宋体" w:eastAsia="宋体" w:hAnsi="宋体"/>
          <w:sz w:val="24"/>
          <w:szCs w:val="24"/>
        </w:rPr>
        <w:t>.</w:t>
      </w:r>
      <w:r w:rsidRPr="003056BA">
        <w:rPr>
          <w:rFonts w:ascii="宋体" w:eastAsia="宋体" w:hAnsi="宋体" w:hint="eastAsia"/>
          <w:sz w:val="24"/>
          <w:szCs w:val="24"/>
        </w:rPr>
        <w:t>保税交割业务</w:t>
      </w:r>
      <w:bookmarkEnd w:id="11"/>
    </w:p>
    <w:p w14:paraId="77424EC2" w14:textId="77777777" w:rsidR="003056BA" w:rsidRPr="003056BA" w:rsidRDefault="003056BA" w:rsidP="003056BA">
      <w:pPr>
        <w:pStyle w:val="4"/>
        <w:spacing w:beforeLines="50" w:before="156" w:after="0" w:line="480" w:lineRule="atLeast"/>
        <w:rPr>
          <w:rFonts w:ascii="宋体" w:eastAsia="宋体" w:hAnsi="宋体"/>
          <w:sz w:val="24"/>
          <w:szCs w:val="24"/>
        </w:rPr>
      </w:pPr>
      <w:bookmarkStart w:id="12" w:name="_Toc12894952"/>
      <w:r w:rsidRPr="003056BA">
        <w:rPr>
          <w:rFonts w:ascii="宋体" w:eastAsia="宋体" w:hAnsi="宋体" w:hint="eastAsia"/>
          <w:sz w:val="24"/>
          <w:szCs w:val="24"/>
        </w:rPr>
        <w:t>（1）大连商品交易所开展的铁矿石期货保税交割业务（以下简称“铁矿石期货保税交割业务”）</w:t>
      </w:r>
      <w:bookmarkEnd w:id="12"/>
    </w:p>
    <w:p w14:paraId="45D4695A" w14:textId="77777777" w:rsidR="003056BA" w:rsidRPr="003056BA" w:rsidRDefault="003056BA" w:rsidP="003056BA">
      <w:pPr>
        <w:pStyle w:val="a3"/>
        <w:shd w:val="clear" w:color="auto" w:fill="FFFFFF"/>
        <w:spacing w:beforeLines="50" w:before="156" w:line="480" w:lineRule="atLeast"/>
        <w:ind w:firstLineChars="200" w:firstLine="480"/>
        <w:rPr>
          <w:color w:val="000000" w:themeColor="text1"/>
        </w:rPr>
      </w:pPr>
      <w:r w:rsidRPr="003056BA">
        <w:rPr>
          <w:rFonts w:hint="eastAsia"/>
          <w:color w:val="000000" w:themeColor="text1"/>
        </w:rPr>
        <w:t>指参与铁矿石期货保税交割业务的境内机构、境外机构，通过大连商品交易所，以海关特殊监管区域或场所内处于保税监管状态的铁矿石货物为期货实物交割标的物，开展的铁矿石期货实物交割业务。</w:t>
      </w:r>
    </w:p>
    <w:p w14:paraId="00DA8BB9" w14:textId="27CAC53A" w:rsidR="003056BA" w:rsidRPr="003056BA" w:rsidRDefault="003056BA" w:rsidP="003056BA">
      <w:pPr>
        <w:spacing w:beforeLines="50" w:before="156" w:line="480" w:lineRule="atLeast"/>
        <w:jc w:val="right"/>
        <w:rPr>
          <w:rFonts w:ascii="宋体" w:eastAsia="宋体" w:hAnsi="宋体"/>
          <w:color w:val="000000" w:themeColor="text1"/>
          <w:sz w:val="24"/>
          <w:szCs w:val="24"/>
        </w:rPr>
      </w:pPr>
      <w:bookmarkStart w:id="13" w:name="_Hlk8677988"/>
      <w:r w:rsidRPr="003056BA">
        <w:rPr>
          <w:rFonts w:ascii="宋体" w:eastAsia="宋体" w:hAnsi="宋体" w:hint="eastAsia"/>
          <w:color w:val="000000" w:themeColor="text1"/>
          <w:sz w:val="24"/>
          <w:szCs w:val="24"/>
        </w:rPr>
        <w:t>（</w:t>
      </w:r>
      <w:bookmarkStart w:id="14" w:name="_Hlk52389246"/>
      <w:r w:rsidR="00B04BBD">
        <w:rPr>
          <w:rFonts w:ascii="宋体" w:eastAsia="宋体" w:hAnsi="宋体"/>
          <w:sz w:val="24"/>
          <w:szCs w:val="24"/>
        </w:rPr>
        <w:fldChar w:fldCharType="begin"/>
      </w:r>
      <w:r w:rsidR="00B04BBD">
        <w:rPr>
          <w:rFonts w:ascii="宋体" w:eastAsia="宋体" w:hAnsi="宋体"/>
          <w:sz w:val="24"/>
          <w:szCs w:val="24"/>
        </w:rPr>
        <w:instrText xml:space="preserve"> HYPERLINK "http://ssfb86.com/index/News/detail/newsid/368.html" </w:instrText>
      </w:r>
      <w:r w:rsidR="00B04BBD">
        <w:rPr>
          <w:rFonts w:ascii="宋体" w:eastAsia="宋体" w:hAnsi="宋体"/>
          <w:sz w:val="24"/>
          <w:szCs w:val="24"/>
        </w:rPr>
      </w:r>
      <w:r w:rsidR="00B04BBD">
        <w:rPr>
          <w:rFonts w:ascii="宋体" w:eastAsia="宋体" w:hAnsi="宋体"/>
          <w:sz w:val="24"/>
          <w:szCs w:val="24"/>
        </w:rPr>
        <w:fldChar w:fldCharType="separate"/>
      </w:r>
      <w:r w:rsidRPr="00B04BBD">
        <w:rPr>
          <w:rStyle w:val="a4"/>
          <w:rFonts w:ascii="宋体" w:eastAsia="宋体" w:hAnsi="宋体" w:hint="eastAsia"/>
          <w:sz w:val="24"/>
          <w:szCs w:val="24"/>
        </w:rPr>
        <w:t>国家税务总局公告2018年第19号</w:t>
      </w:r>
      <w:r w:rsidR="00B04BBD">
        <w:rPr>
          <w:rFonts w:ascii="宋体" w:eastAsia="宋体" w:hAnsi="宋体"/>
          <w:sz w:val="24"/>
          <w:szCs w:val="24"/>
        </w:rPr>
        <w:fldChar w:fldCharType="end"/>
      </w:r>
      <w:bookmarkEnd w:id="14"/>
      <w:r w:rsidRPr="003056BA">
        <w:rPr>
          <w:rFonts w:ascii="宋体" w:eastAsia="宋体" w:hAnsi="宋体" w:hint="eastAsia"/>
          <w:color w:val="000000" w:themeColor="text1"/>
          <w:sz w:val="24"/>
          <w:szCs w:val="24"/>
        </w:rPr>
        <w:t>第一条）</w:t>
      </w:r>
    </w:p>
    <w:p w14:paraId="5B2EEC81" w14:textId="77777777" w:rsidR="003056BA" w:rsidRPr="003056BA" w:rsidRDefault="003056BA" w:rsidP="003056BA">
      <w:pPr>
        <w:pStyle w:val="4"/>
        <w:spacing w:beforeLines="50" w:before="156" w:after="0" w:line="480" w:lineRule="atLeast"/>
        <w:rPr>
          <w:rFonts w:ascii="宋体" w:eastAsia="宋体" w:hAnsi="宋体"/>
          <w:sz w:val="24"/>
          <w:szCs w:val="24"/>
        </w:rPr>
      </w:pPr>
      <w:bookmarkStart w:id="15" w:name="_Toc12894953"/>
      <w:r w:rsidRPr="003056BA">
        <w:rPr>
          <w:rFonts w:ascii="宋体" w:eastAsia="宋体" w:hAnsi="宋体" w:hint="eastAsia"/>
          <w:sz w:val="24"/>
          <w:szCs w:val="24"/>
        </w:rPr>
        <w:t>（2）上海国际能源交易中心开展的原油期货保税交割业务（以下简称“原油期货保税交割业务”）</w:t>
      </w:r>
      <w:bookmarkEnd w:id="15"/>
    </w:p>
    <w:p w14:paraId="323408D3" w14:textId="77777777" w:rsidR="003056BA" w:rsidRPr="003056BA" w:rsidRDefault="003056BA" w:rsidP="003056BA">
      <w:pPr>
        <w:pStyle w:val="a3"/>
        <w:shd w:val="clear" w:color="auto" w:fill="FFFFFF"/>
        <w:spacing w:beforeLines="50" w:before="156" w:line="480" w:lineRule="atLeast"/>
        <w:ind w:firstLineChars="200" w:firstLine="480"/>
        <w:rPr>
          <w:color w:val="000000" w:themeColor="text1"/>
        </w:rPr>
      </w:pPr>
      <w:r w:rsidRPr="003056BA">
        <w:rPr>
          <w:rFonts w:hint="eastAsia"/>
          <w:color w:val="000000" w:themeColor="text1"/>
        </w:rPr>
        <w:t>指参与原油期货保税交割业务的境内机构、境外机构，通过上海国际能源交易中心，以海关特殊监管区域或场所内处于保税监管状态的原油货物为期货实物交割标的物，开展的原油期货实物交割业务。</w:t>
      </w:r>
    </w:p>
    <w:p w14:paraId="1143648A" w14:textId="475A8167" w:rsidR="003056BA" w:rsidRPr="003056BA" w:rsidRDefault="003056BA" w:rsidP="003056BA">
      <w:pPr>
        <w:spacing w:beforeLines="50" w:before="156" w:line="480" w:lineRule="atLeast"/>
        <w:jc w:val="right"/>
        <w:rPr>
          <w:rFonts w:ascii="宋体" w:eastAsia="宋体" w:hAnsi="宋体"/>
          <w:color w:val="000000" w:themeColor="text1"/>
          <w:sz w:val="24"/>
          <w:szCs w:val="24"/>
        </w:rPr>
      </w:pPr>
      <w:r w:rsidRPr="003056BA">
        <w:rPr>
          <w:rFonts w:ascii="宋体" w:eastAsia="宋体" w:hAnsi="宋体" w:hint="eastAsia"/>
          <w:color w:val="000000" w:themeColor="text1"/>
          <w:sz w:val="24"/>
          <w:szCs w:val="24"/>
        </w:rPr>
        <w:t>（</w:t>
      </w:r>
      <w:bookmarkStart w:id="16" w:name="_Hlk52389368"/>
      <w:r w:rsidR="00B04BBD">
        <w:rPr>
          <w:rFonts w:ascii="宋体" w:eastAsia="宋体" w:hAnsi="宋体"/>
          <w:sz w:val="24"/>
          <w:szCs w:val="24"/>
        </w:rPr>
        <w:fldChar w:fldCharType="begin"/>
      </w:r>
      <w:r w:rsidR="00B04BBD">
        <w:rPr>
          <w:rFonts w:ascii="宋体" w:eastAsia="宋体" w:hAnsi="宋体"/>
          <w:sz w:val="24"/>
          <w:szCs w:val="24"/>
        </w:rPr>
        <w:instrText xml:space="preserve"> HYPERLINK "http://ssfb86.com/index/News/detail/newsid/505.html" </w:instrText>
      </w:r>
      <w:r w:rsidR="00B04BBD">
        <w:rPr>
          <w:rFonts w:ascii="宋体" w:eastAsia="宋体" w:hAnsi="宋体"/>
          <w:sz w:val="24"/>
          <w:szCs w:val="24"/>
        </w:rPr>
      </w:r>
      <w:r w:rsidR="00B04BBD">
        <w:rPr>
          <w:rFonts w:ascii="宋体" w:eastAsia="宋体" w:hAnsi="宋体"/>
          <w:sz w:val="24"/>
          <w:szCs w:val="24"/>
        </w:rPr>
        <w:fldChar w:fldCharType="separate"/>
      </w:r>
      <w:r w:rsidRPr="00B04BBD">
        <w:rPr>
          <w:rStyle w:val="a4"/>
          <w:rFonts w:ascii="宋体" w:eastAsia="宋体" w:hAnsi="宋体" w:hint="eastAsia"/>
          <w:sz w:val="24"/>
          <w:szCs w:val="24"/>
        </w:rPr>
        <w:t>国家税务总局公告2017年第29号</w:t>
      </w:r>
      <w:r w:rsidR="00B04BBD">
        <w:rPr>
          <w:rFonts w:ascii="宋体" w:eastAsia="宋体" w:hAnsi="宋体"/>
          <w:sz w:val="24"/>
          <w:szCs w:val="24"/>
        </w:rPr>
        <w:fldChar w:fldCharType="end"/>
      </w:r>
      <w:bookmarkEnd w:id="16"/>
      <w:r w:rsidRPr="003056BA">
        <w:rPr>
          <w:rFonts w:ascii="宋体" w:eastAsia="宋体" w:hAnsi="宋体" w:hint="eastAsia"/>
          <w:color w:val="000000" w:themeColor="text1"/>
          <w:sz w:val="24"/>
          <w:szCs w:val="24"/>
        </w:rPr>
        <w:t>第一条）</w:t>
      </w:r>
    </w:p>
    <w:p w14:paraId="6174CC76" w14:textId="77777777" w:rsidR="003056BA" w:rsidRPr="003056BA" w:rsidRDefault="003056BA" w:rsidP="003056BA">
      <w:pPr>
        <w:pStyle w:val="3"/>
        <w:spacing w:beforeLines="50" w:before="156" w:after="0" w:line="480" w:lineRule="atLeast"/>
        <w:rPr>
          <w:rFonts w:ascii="宋体" w:eastAsia="宋体" w:hAnsi="宋体"/>
          <w:sz w:val="24"/>
          <w:szCs w:val="24"/>
        </w:rPr>
      </w:pPr>
      <w:bookmarkStart w:id="17" w:name="_Toc12894954"/>
      <w:bookmarkEnd w:id="13"/>
      <w:r w:rsidRPr="003056BA">
        <w:rPr>
          <w:rFonts w:ascii="宋体" w:eastAsia="宋体" w:hAnsi="宋体" w:hint="eastAsia"/>
          <w:sz w:val="24"/>
          <w:szCs w:val="24"/>
        </w:rPr>
        <w:t>2</w:t>
      </w:r>
      <w:r w:rsidRPr="003056BA">
        <w:rPr>
          <w:rFonts w:ascii="宋体" w:eastAsia="宋体" w:hAnsi="宋体"/>
          <w:sz w:val="24"/>
          <w:szCs w:val="24"/>
        </w:rPr>
        <w:t>.</w:t>
      </w:r>
      <w:r w:rsidRPr="003056BA">
        <w:rPr>
          <w:rFonts w:ascii="宋体" w:eastAsia="宋体" w:hAnsi="宋体" w:hint="eastAsia"/>
          <w:sz w:val="24"/>
          <w:szCs w:val="24"/>
        </w:rPr>
        <w:t>境内机构</w:t>
      </w:r>
      <w:bookmarkEnd w:id="17"/>
    </w:p>
    <w:p w14:paraId="58D4ABE6" w14:textId="77777777" w:rsidR="003056BA" w:rsidRPr="003056BA" w:rsidRDefault="003056BA" w:rsidP="003056BA">
      <w:pPr>
        <w:pStyle w:val="a3"/>
        <w:shd w:val="clear" w:color="auto" w:fill="FFFFFF"/>
        <w:spacing w:beforeLines="50" w:before="156" w:line="480" w:lineRule="atLeast"/>
        <w:ind w:firstLineChars="200" w:firstLine="480"/>
        <w:rPr>
          <w:color w:val="000000" w:themeColor="text1"/>
        </w:rPr>
      </w:pPr>
      <w:r w:rsidRPr="003056BA">
        <w:rPr>
          <w:rFonts w:hint="eastAsia"/>
          <w:color w:val="000000" w:themeColor="text1"/>
        </w:rPr>
        <w:t>（1）包括大连商品交易所的会员单位（含期货公司会员和非期货公司会员），以及通过会员单位在大连商品交易所开展铁矿石期货保税交割业务的境内客户；</w:t>
      </w:r>
    </w:p>
    <w:p w14:paraId="71D37902" w14:textId="4F583FF4" w:rsidR="003056BA" w:rsidRPr="003056BA" w:rsidRDefault="003056BA" w:rsidP="003056BA">
      <w:pPr>
        <w:spacing w:beforeLines="50" w:before="156" w:line="480" w:lineRule="atLeast"/>
        <w:jc w:val="right"/>
        <w:rPr>
          <w:rFonts w:ascii="宋体" w:eastAsia="宋体" w:hAnsi="宋体"/>
          <w:color w:val="000000" w:themeColor="text1"/>
          <w:sz w:val="24"/>
          <w:szCs w:val="24"/>
        </w:rPr>
      </w:pPr>
      <w:bookmarkStart w:id="18" w:name="_Hlk8678016"/>
      <w:r w:rsidRPr="003056BA">
        <w:rPr>
          <w:rFonts w:ascii="宋体" w:eastAsia="宋体" w:hAnsi="宋体" w:hint="eastAsia"/>
          <w:color w:val="000000" w:themeColor="text1"/>
          <w:sz w:val="24"/>
          <w:szCs w:val="24"/>
        </w:rPr>
        <w:t>（</w:t>
      </w:r>
      <w:hyperlink r:id="rId18" w:history="1">
        <w:r w:rsidR="00B04BBD" w:rsidRPr="00B04BBD">
          <w:rPr>
            <w:rStyle w:val="a4"/>
            <w:rFonts w:ascii="宋体" w:eastAsia="宋体" w:hAnsi="宋体" w:hint="eastAsia"/>
            <w:sz w:val="24"/>
            <w:szCs w:val="24"/>
          </w:rPr>
          <w:t>国家税务总局公告2018年第19号</w:t>
        </w:r>
      </w:hyperlink>
      <w:r w:rsidRPr="003056BA">
        <w:rPr>
          <w:rFonts w:ascii="宋体" w:eastAsia="宋体" w:hAnsi="宋体" w:hint="eastAsia"/>
          <w:color w:val="000000" w:themeColor="text1"/>
          <w:sz w:val="24"/>
          <w:szCs w:val="24"/>
        </w:rPr>
        <w:t>第二条第一款）</w:t>
      </w:r>
    </w:p>
    <w:p w14:paraId="58D6357D" w14:textId="77777777" w:rsidR="003056BA" w:rsidRPr="003056BA" w:rsidRDefault="003056BA" w:rsidP="003056BA">
      <w:pPr>
        <w:spacing w:beforeLines="50" w:before="156" w:line="480" w:lineRule="atLeast"/>
        <w:ind w:firstLine="480"/>
        <w:jc w:val="left"/>
        <w:rPr>
          <w:rFonts w:ascii="宋体" w:eastAsia="宋体" w:hAnsi="宋体" w:cs="宋体"/>
          <w:color w:val="000000" w:themeColor="text1"/>
          <w:kern w:val="0"/>
          <w:sz w:val="24"/>
          <w:szCs w:val="24"/>
        </w:rPr>
      </w:pPr>
      <w:r w:rsidRPr="003056BA">
        <w:rPr>
          <w:rFonts w:ascii="宋体" w:eastAsia="宋体" w:hAnsi="宋体" w:hint="eastAsia"/>
          <w:color w:val="000000" w:themeColor="text1"/>
          <w:sz w:val="24"/>
          <w:szCs w:val="24"/>
        </w:rPr>
        <w:t>（</w:t>
      </w:r>
      <w:r w:rsidRPr="003056BA">
        <w:rPr>
          <w:rFonts w:ascii="宋体" w:eastAsia="宋体" w:hAnsi="宋体" w:cs="宋体" w:hint="eastAsia"/>
          <w:color w:val="000000" w:themeColor="text1"/>
          <w:kern w:val="0"/>
          <w:sz w:val="24"/>
          <w:szCs w:val="24"/>
        </w:rPr>
        <w:t>2）包括上海国际能源交易中心的会员单位（含期货公司会员和非期货公司会员），以及通过会员单位在上海国际能源交易中心开展原油期货保税交割业务的境内客户；</w:t>
      </w:r>
    </w:p>
    <w:p w14:paraId="2CCEEEAD" w14:textId="31261C53" w:rsidR="003056BA" w:rsidRPr="003056BA" w:rsidRDefault="003056BA" w:rsidP="003056BA">
      <w:pPr>
        <w:spacing w:beforeLines="50" w:before="156" w:line="480" w:lineRule="atLeast"/>
        <w:jc w:val="right"/>
        <w:rPr>
          <w:rFonts w:ascii="宋体" w:eastAsia="宋体" w:hAnsi="宋体" w:cs="宋体"/>
          <w:color w:val="000000" w:themeColor="text1"/>
          <w:kern w:val="0"/>
          <w:sz w:val="24"/>
          <w:szCs w:val="24"/>
        </w:rPr>
      </w:pPr>
      <w:r w:rsidRPr="003056BA">
        <w:rPr>
          <w:rFonts w:ascii="宋体" w:eastAsia="宋体" w:hAnsi="宋体" w:cs="宋体" w:hint="eastAsia"/>
          <w:color w:val="000000" w:themeColor="text1"/>
          <w:kern w:val="0"/>
          <w:sz w:val="24"/>
          <w:szCs w:val="24"/>
        </w:rPr>
        <w:t>（</w:t>
      </w:r>
      <w:hyperlink r:id="rId19" w:history="1">
        <w:r w:rsidR="00B04BBD" w:rsidRPr="00B04BBD">
          <w:rPr>
            <w:rStyle w:val="a4"/>
            <w:rFonts w:ascii="宋体" w:eastAsia="宋体" w:hAnsi="宋体" w:hint="eastAsia"/>
            <w:sz w:val="24"/>
            <w:szCs w:val="24"/>
          </w:rPr>
          <w:t>国家税务总局公告2017年第29号</w:t>
        </w:r>
      </w:hyperlink>
      <w:r w:rsidRPr="003056BA">
        <w:rPr>
          <w:rFonts w:ascii="宋体" w:eastAsia="宋体" w:hAnsi="宋体" w:hint="eastAsia"/>
          <w:color w:val="000000" w:themeColor="text1"/>
          <w:sz w:val="24"/>
          <w:szCs w:val="24"/>
        </w:rPr>
        <w:t>第二条第一款</w:t>
      </w:r>
      <w:r w:rsidRPr="003056BA">
        <w:rPr>
          <w:rFonts w:ascii="宋体" w:eastAsia="宋体" w:hAnsi="宋体" w:cs="宋体" w:hint="eastAsia"/>
          <w:color w:val="000000" w:themeColor="text1"/>
          <w:kern w:val="0"/>
          <w:sz w:val="24"/>
          <w:szCs w:val="24"/>
        </w:rPr>
        <w:t>）</w:t>
      </w:r>
    </w:p>
    <w:p w14:paraId="19A73CC4" w14:textId="77777777" w:rsidR="003056BA" w:rsidRPr="003056BA" w:rsidRDefault="003056BA" w:rsidP="003056BA">
      <w:pPr>
        <w:pStyle w:val="3"/>
        <w:spacing w:beforeLines="50" w:before="156" w:after="0" w:line="480" w:lineRule="atLeast"/>
        <w:rPr>
          <w:rFonts w:ascii="宋体" w:eastAsia="宋体" w:hAnsi="宋体"/>
          <w:sz w:val="24"/>
          <w:szCs w:val="24"/>
        </w:rPr>
      </w:pPr>
      <w:bookmarkStart w:id="19" w:name="_Toc12894955"/>
      <w:bookmarkEnd w:id="18"/>
      <w:r w:rsidRPr="003056BA">
        <w:rPr>
          <w:rFonts w:ascii="宋体" w:eastAsia="宋体" w:hAnsi="宋体" w:hint="eastAsia"/>
          <w:sz w:val="24"/>
          <w:szCs w:val="24"/>
        </w:rPr>
        <w:lastRenderedPageBreak/>
        <w:t>3</w:t>
      </w:r>
      <w:r w:rsidRPr="003056BA">
        <w:rPr>
          <w:rFonts w:ascii="宋体" w:eastAsia="宋体" w:hAnsi="宋体"/>
          <w:sz w:val="24"/>
          <w:szCs w:val="24"/>
        </w:rPr>
        <w:t>.</w:t>
      </w:r>
      <w:r w:rsidRPr="003056BA">
        <w:rPr>
          <w:rFonts w:ascii="宋体" w:eastAsia="宋体" w:hAnsi="宋体" w:hint="eastAsia"/>
          <w:sz w:val="24"/>
          <w:szCs w:val="24"/>
        </w:rPr>
        <w:t>境外机构</w:t>
      </w:r>
      <w:bookmarkEnd w:id="19"/>
    </w:p>
    <w:p w14:paraId="3FD2DD7B" w14:textId="77777777" w:rsidR="003056BA" w:rsidRPr="003056BA" w:rsidRDefault="003056BA" w:rsidP="003056BA">
      <w:pPr>
        <w:pStyle w:val="a3"/>
        <w:shd w:val="clear" w:color="auto" w:fill="FFFFFF"/>
        <w:spacing w:beforeLines="50" w:before="156" w:line="480" w:lineRule="atLeast"/>
        <w:ind w:firstLineChars="200" w:firstLine="480"/>
        <w:rPr>
          <w:color w:val="000000" w:themeColor="text1"/>
        </w:rPr>
      </w:pPr>
      <w:r w:rsidRPr="003056BA">
        <w:rPr>
          <w:rFonts w:hint="eastAsia"/>
          <w:color w:val="000000" w:themeColor="text1"/>
        </w:rPr>
        <w:t>（1）包括在大连商品交易所开展铁矿石期货保税交割业务的境外经纪机构和境外参与者。</w:t>
      </w:r>
    </w:p>
    <w:p w14:paraId="17878CF4" w14:textId="476724AA" w:rsidR="003056BA" w:rsidRPr="003056BA" w:rsidRDefault="003056BA" w:rsidP="003056BA">
      <w:pPr>
        <w:spacing w:beforeLines="50" w:before="156" w:line="480" w:lineRule="atLeast"/>
        <w:jc w:val="right"/>
        <w:rPr>
          <w:rFonts w:ascii="宋体" w:eastAsia="宋体" w:hAnsi="宋体"/>
          <w:color w:val="000000" w:themeColor="text1"/>
          <w:sz w:val="24"/>
          <w:szCs w:val="24"/>
        </w:rPr>
      </w:pPr>
      <w:r w:rsidRPr="003056BA">
        <w:rPr>
          <w:rFonts w:ascii="宋体" w:eastAsia="宋体" w:hAnsi="宋体" w:hint="eastAsia"/>
          <w:color w:val="000000" w:themeColor="text1"/>
          <w:sz w:val="24"/>
          <w:szCs w:val="24"/>
        </w:rPr>
        <w:t>（</w:t>
      </w:r>
      <w:hyperlink r:id="rId20" w:history="1">
        <w:r w:rsidR="00B04BBD" w:rsidRPr="00B04BBD">
          <w:rPr>
            <w:rStyle w:val="a4"/>
            <w:rFonts w:ascii="宋体" w:eastAsia="宋体" w:hAnsi="宋体" w:hint="eastAsia"/>
            <w:sz w:val="24"/>
            <w:szCs w:val="24"/>
          </w:rPr>
          <w:t>国家税务总局公告2018年第19号</w:t>
        </w:r>
      </w:hyperlink>
      <w:r w:rsidRPr="003056BA">
        <w:rPr>
          <w:rFonts w:ascii="宋体" w:eastAsia="宋体" w:hAnsi="宋体" w:hint="eastAsia"/>
          <w:color w:val="000000" w:themeColor="text1"/>
          <w:sz w:val="24"/>
          <w:szCs w:val="24"/>
        </w:rPr>
        <w:t>第二条第二款）</w:t>
      </w:r>
    </w:p>
    <w:p w14:paraId="46373B3E" w14:textId="77777777" w:rsidR="003056BA" w:rsidRPr="003056BA" w:rsidRDefault="003056BA" w:rsidP="003056BA">
      <w:pPr>
        <w:spacing w:beforeLines="50" w:before="156" w:line="480" w:lineRule="atLeast"/>
        <w:ind w:firstLineChars="200" w:firstLine="480"/>
        <w:jc w:val="left"/>
        <w:rPr>
          <w:rFonts w:ascii="宋体" w:eastAsia="宋体" w:hAnsi="宋体" w:cs="宋体"/>
          <w:color w:val="000000" w:themeColor="text1"/>
          <w:kern w:val="0"/>
          <w:sz w:val="24"/>
          <w:szCs w:val="24"/>
        </w:rPr>
      </w:pPr>
      <w:r w:rsidRPr="003056BA">
        <w:rPr>
          <w:rFonts w:ascii="宋体" w:eastAsia="宋体" w:hAnsi="宋体" w:hint="eastAsia"/>
          <w:color w:val="000000" w:themeColor="text1"/>
          <w:sz w:val="24"/>
          <w:szCs w:val="24"/>
        </w:rPr>
        <w:t>（</w:t>
      </w:r>
      <w:r w:rsidRPr="003056BA">
        <w:rPr>
          <w:rFonts w:ascii="宋体" w:eastAsia="宋体" w:hAnsi="宋体" w:cs="宋体" w:hint="eastAsia"/>
          <w:color w:val="000000" w:themeColor="text1"/>
          <w:kern w:val="0"/>
          <w:sz w:val="24"/>
          <w:szCs w:val="24"/>
        </w:rPr>
        <w:t>2）包括在上海国际能源交易中心开展原油期货保税交割业务的境外经纪机构和境外参与者。</w:t>
      </w:r>
    </w:p>
    <w:p w14:paraId="4FE881C1" w14:textId="5F9DE882" w:rsidR="003056BA" w:rsidRPr="003056BA" w:rsidRDefault="003056BA" w:rsidP="003056BA">
      <w:pPr>
        <w:spacing w:beforeLines="50" w:before="156" w:line="480" w:lineRule="atLeast"/>
        <w:jc w:val="right"/>
        <w:rPr>
          <w:rFonts w:ascii="宋体" w:eastAsia="宋体" w:hAnsi="宋体" w:cs="宋体"/>
          <w:color w:val="000000" w:themeColor="text1"/>
          <w:kern w:val="0"/>
          <w:sz w:val="24"/>
          <w:szCs w:val="24"/>
        </w:rPr>
      </w:pPr>
      <w:r w:rsidRPr="003056BA">
        <w:rPr>
          <w:rFonts w:ascii="宋体" w:eastAsia="宋体" w:hAnsi="宋体" w:cs="宋体" w:hint="eastAsia"/>
          <w:color w:val="000000" w:themeColor="text1"/>
          <w:kern w:val="0"/>
          <w:sz w:val="24"/>
          <w:szCs w:val="24"/>
        </w:rPr>
        <w:t>（</w:t>
      </w:r>
      <w:hyperlink r:id="rId21" w:history="1">
        <w:r w:rsidR="00B04BBD" w:rsidRPr="00B04BBD">
          <w:rPr>
            <w:rStyle w:val="a4"/>
            <w:rFonts w:ascii="宋体" w:eastAsia="宋体" w:hAnsi="宋体" w:hint="eastAsia"/>
            <w:sz w:val="24"/>
            <w:szCs w:val="24"/>
          </w:rPr>
          <w:t>国家税务总局公告2017年第29号</w:t>
        </w:r>
      </w:hyperlink>
      <w:r w:rsidRPr="003056BA">
        <w:rPr>
          <w:rFonts w:ascii="宋体" w:eastAsia="宋体" w:hAnsi="宋体" w:hint="eastAsia"/>
          <w:color w:val="000000" w:themeColor="text1"/>
          <w:sz w:val="24"/>
          <w:szCs w:val="24"/>
        </w:rPr>
        <w:t>第二条第二款</w:t>
      </w:r>
      <w:r w:rsidRPr="003056BA">
        <w:rPr>
          <w:rFonts w:ascii="宋体" w:eastAsia="宋体" w:hAnsi="宋体" w:cs="宋体" w:hint="eastAsia"/>
          <w:color w:val="000000" w:themeColor="text1"/>
          <w:kern w:val="0"/>
          <w:sz w:val="24"/>
          <w:szCs w:val="24"/>
        </w:rPr>
        <w:t>）</w:t>
      </w:r>
    </w:p>
    <w:p w14:paraId="25C6A6DA" w14:textId="77777777" w:rsidR="003056BA" w:rsidRPr="003056BA" w:rsidRDefault="003056BA" w:rsidP="003056BA">
      <w:pPr>
        <w:pStyle w:val="2"/>
        <w:spacing w:beforeLines="50" w:before="156" w:after="0" w:line="480" w:lineRule="atLeast"/>
        <w:rPr>
          <w:rFonts w:ascii="宋体" w:eastAsia="宋体" w:hAnsi="宋体"/>
          <w:sz w:val="24"/>
          <w:szCs w:val="24"/>
        </w:rPr>
      </w:pPr>
      <w:bookmarkStart w:id="20" w:name="_Toc12894956"/>
      <w:r w:rsidRPr="003056BA">
        <w:rPr>
          <w:rFonts w:ascii="宋体" w:eastAsia="宋体" w:hAnsi="宋体" w:hint="eastAsia"/>
          <w:sz w:val="24"/>
          <w:szCs w:val="24"/>
        </w:rPr>
        <w:t>（三）税收管理</w:t>
      </w:r>
      <w:bookmarkEnd w:id="20"/>
    </w:p>
    <w:p w14:paraId="50FBB596" w14:textId="77777777" w:rsidR="003056BA" w:rsidRPr="003056BA" w:rsidRDefault="003056BA" w:rsidP="003056BA">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3056BA">
        <w:rPr>
          <w:rFonts w:ascii="宋体" w:eastAsia="宋体" w:hAnsi="宋体" w:cs="宋体" w:hint="eastAsia"/>
          <w:color w:val="000000" w:themeColor="text1"/>
          <w:kern w:val="0"/>
          <w:sz w:val="24"/>
          <w:szCs w:val="24"/>
        </w:rPr>
        <w:t>期货保税交割的销售方，在向主管税务机关申报纳税时，应出具当期期货保税交割的书面说明、上海国际能源交易中心股份有限公司或大连商品交易所的交割结算单、保税仓单等资料。</w:t>
      </w:r>
    </w:p>
    <w:p w14:paraId="637224C4" w14:textId="6B6DCEA8" w:rsidR="003056BA" w:rsidRPr="003056BA" w:rsidRDefault="003056BA" w:rsidP="003056BA">
      <w:pPr>
        <w:spacing w:beforeLines="50" w:before="156" w:line="480" w:lineRule="atLeast"/>
        <w:jc w:val="right"/>
        <w:rPr>
          <w:rFonts w:ascii="宋体" w:eastAsia="宋体" w:hAnsi="宋体"/>
          <w:color w:val="000000" w:themeColor="text1"/>
          <w:sz w:val="24"/>
          <w:szCs w:val="24"/>
        </w:rPr>
      </w:pPr>
      <w:r w:rsidRPr="003056BA">
        <w:rPr>
          <w:rFonts w:ascii="宋体" w:eastAsia="宋体" w:hAnsi="宋体" w:hint="eastAsia"/>
          <w:color w:val="000000" w:themeColor="text1"/>
          <w:sz w:val="24"/>
          <w:szCs w:val="24"/>
        </w:rPr>
        <w:t>（</w:t>
      </w:r>
      <w:hyperlink r:id="rId22" w:history="1">
        <w:r w:rsidR="00B04BBD" w:rsidRPr="00B04BBD">
          <w:rPr>
            <w:rStyle w:val="a4"/>
            <w:rFonts w:ascii="宋体" w:eastAsia="宋体" w:hAnsi="宋体" w:hint="eastAsia"/>
            <w:sz w:val="24"/>
            <w:szCs w:val="24"/>
          </w:rPr>
          <w:t>财税〔2015〕35号</w:t>
        </w:r>
      </w:hyperlink>
      <w:r w:rsidRPr="003056BA">
        <w:rPr>
          <w:rFonts w:ascii="宋体" w:eastAsia="宋体" w:hAnsi="宋体" w:hint="eastAsia"/>
          <w:color w:val="000000" w:themeColor="text1"/>
          <w:sz w:val="24"/>
          <w:szCs w:val="24"/>
        </w:rPr>
        <w:t>第二条）</w:t>
      </w:r>
    </w:p>
    <w:p w14:paraId="2CF954E9" w14:textId="77777777" w:rsidR="003056BA" w:rsidRPr="003056BA" w:rsidRDefault="003056BA" w:rsidP="003056BA">
      <w:pPr>
        <w:pStyle w:val="3"/>
        <w:spacing w:beforeLines="50" w:before="156" w:after="0" w:line="480" w:lineRule="atLeast"/>
        <w:rPr>
          <w:rFonts w:ascii="宋体" w:eastAsia="宋体" w:hAnsi="宋体"/>
          <w:sz w:val="24"/>
          <w:szCs w:val="24"/>
        </w:rPr>
      </w:pPr>
      <w:bookmarkStart w:id="21" w:name="_Toc12894957"/>
      <w:r w:rsidRPr="003056BA">
        <w:rPr>
          <w:rFonts w:ascii="宋体" w:eastAsia="宋体" w:hAnsi="宋体" w:hint="eastAsia"/>
          <w:sz w:val="24"/>
          <w:szCs w:val="24"/>
        </w:rPr>
        <w:t>1</w:t>
      </w:r>
      <w:r w:rsidRPr="003056BA">
        <w:rPr>
          <w:rFonts w:ascii="宋体" w:eastAsia="宋体" w:hAnsi="宋体"/>
          <w:sz w:val="24"/>
          <w:szCs w:val="24"/>
        </w:rPr>
        <w:t>.</w:t>
      </w:r>
      <w:r w:rsidRPr="003056BA">
        <w:rPr>
          <w:rFonts w:ascii="宋体" w:eastAsia="宋体" w:hAnsi="宋体" w:hint="eastAsia"/>
          <w:sz w:val="24"/>
          <w:szCs w:val="24"/>
        </w:rPr>
        <w:t>对境内机构的增值税管理按以下规定执行：</w:t>
      </w:r>
      <w:bookmarkEnd w:id="21"/>
    </w:p>
    <w:p w14:paraId="743B4316" w14:textId="77777777" w:rsidR="003056BA" w:rsidRPr="003056BA" w:rsidRDefault="003056BA" w:rsidP="003056BA">
      <w:pPr>
        <w:pStyle w:val="a3"/>
        <w:shd w:val="clear" w:color="auto" w:fill="FFFFFF"/>
        <w:spacing w:beforeLines="50" w:before="156" w:line="480" w:lineRule="atLeast"/>
        <w:ind w:firstLineChars="200" w:firstLine="480"/>
        <w:rPr>
          <w:color w:val="000000" w:themeColor="text1"/>
        </w:rPr>
      </w:pPr>
      <w:r w:rsidRPr="003056BA">
        <w:rPr>
          <w:rFonts w:hint="eastAsia"/>
          <w:color w:val="000000" w:themeColor="text1"/>
        </w:rPr>
        <w:t>（1）境内机构均应注册登记为增值税纳税人。</w:t>
      </w:r>
    </w:p>
    <w:p w14:paraId="20899808" w14:textId="5C9FD4E8" w:rsidR="003056BA" w:rsidRPr="003056BA" w:rsidRDefault="003056BA" w:rsidP="003056BA">
      <w:pPr>
        <w:spacing w:beforeLines="50" w:before="156" w:line="480" w:lineRule="atLeast"/>
        <w:jc w:val="right"/>
        <w:rPr>
          <w:rFonts w:ascii="宋体" w:eastAsia="宋体" w:hAnsi="宋体"/>
          <w:color w:val="000000" w:themeColor="text1"/>
          <w:sz w:val="24"/>
          <w:szCs w:val="24"/>
        </w:rPr>
      </w:pPr>
      <w:r w:rsidRPr="003056BA">
        <w:rPr>
          <w:rFonts w:ascii="宋体" w:eastAsia="宋体" w:hAnsi="宋体" w:hint="eastAsia"/>
          <w:color w:val="000000" w:themeColor="text1"/>
          <w:sz w:val="24"/>
          <w:szCs w:val="24"/>
        </w:rPr>
        <w:t>（</w:t>
      </w:r>
      <w:hyperlink r:id="rId23" w:history="1">
        <w:r w:rsidR="00B04BBD" w:rsidRPr="00B04BBD">
          <w:rPr>
            <w:rStyle w:val="a4"/>
            <w:rFonts w:ascii="宋体" w:eastAsia="宋体" w:hAnsi="宋体" w:hint="eastAsia"/>
            <w:sz w:val="24"/>
            <w:szCs w:val="24"/>
          </w:rPr>
          <w:t>国家税务总局公告2018年第19号</w:t>
        </w:r>
      </w:hyperlink>
      <w:r w:rsidRPr="003056BA">
        <w:rPr>
          <w:rFonts w:ascii="宋体" w:eastAsia="宋体" w:hAnsi="宋体" w:hint="eastAsia"/>
          <w:color w:val="000000" w:themeColor="text1"/>
          <w:sz w:val="24"/>
          <w:szCs w:val="24"/>
        </w:rPr>
        <w:t>第三条第一款）</w:t>
      </w:r>
    </w:p>
    <w:p w14:paraId="599A3A41" w14:textId="77777777" w:rsidR="003056BA" w:rsidRPr="003056BA" w:rsidRDefault="003056BA" w:rsidP="003056BA">
      <w:pPr>
        <w:pStyle w:val="a3"/>
        <w:shd w:val="clear" w:color="auto" w:fill="FFFFFF"/>
        <w:spacing w:beforeLines="50" w:before="156" w:line="480" w:lineRule="atLeast"/>
        <w:ind w:firstLineChars="200" w:firstLine="480"/>
        <w:rPr>
          <w:color w:val="000000" w:themeColor="text1"/>
        </w:rPr>
      </w:pPr>
      <w:r w:rsidRPr="003056BA">
        <w:rPr>
          <w:rFonts w:hint="eastAsia"/>
          <w:color w:val="000000" w:themeColor="text1"/>
        </w:rPr>
        <w:t>（2）境内机构应在首次申报铁矿石期货保税交割业务免税时，向主管税务机关提交从事铁矿石期货保税交割业务的书面说明，办理免税备案。</w:t>
      </w:r>
    </w:p>
    <w:p w14:paraId="0CB9B72B" w14:textId="3F5FFDE0" w:rsidR="003056BA" w:rsidRPr="003056BA" w:rsidRDefault="003056BA" w:rsidP="003056BA">
      <w:pPr>
        <w:spacing w:beforeLines="50" w:before="156" w:line="480" w:lineRule="atLeast"/>
        <w:jc w:val="right"/>
        <w:rPr>
          <w:rFonts w:ascii="宋体" w:eastAsia="宋体" w:hAnsi="宋体"/>
          <w:color w:val="000000" w:themeColor="text1"/>
          <w:sz w:val="24"/>
          <w:szCs w:val="24"/>
        </w:rPr>
      </w:pPr>
      <w:r w:rsidRPr="003056BA">
        <w:rPr>
          <w:rFonts w:ascii="宋体" w:eastAsia="宋体" w:hAnsi="宋体" w:hint="eastAsia"/>
          <w:color w:val="000000" w:themeColor="text1"/>
          <w:sz w:val="24"/>
          <w:szCs w:val="24"/>
        </w:rPr>
        <w:t>（</w:t>
      </w:r>
      <w:hyperlink r:id="rId24" w:history="1">
        <w:r w:rsidR="00B04BBD" w:rsidRPr="00B04BBD">
          <w:rPr>
            <w:rStyle w:val="a4"/>
            <w:rFonts w:ascii="宋体" w:eastAsia="宋体" w:hAnsi="宋体" w:hint="eastAsia"/>
            <w:sz w:val="24"/>
            <w:szCs w:val="24"/>
          </w:rPr>
          <w:t>国家税务总局公告2018年第19号</w:t>
        </w:r>
      </w:hyperlink>
      <w:r w:rsidRPr="003056BA">
        <w:rPr>
          <w:rFonts w:ascii="宋体" w:eastAsia="宋体" w:hAnsi="宋体" w:hint="eastAsia"/>
          <w:color w:val="000000" w:themeColor="text1"/>
          <w:sz w:val="24"/>
          <w:szCs w:val="24"/>
        </w:rPr>
        <w:t>第三条第二款）</w:t>
      </w:r>
    </w:p>
    <w:p w14:paraId="4BB4A125" w14:textId="77777777" w:rsidR="003056BA" w:rsidRPr="003056BA" w:rsidRDefault="003056BA" w:rsidP="003056BA">
      <w:pPr>
        <w:pStyle w:val="a3"/>
        <w:shd w:val="clear" w:color="auto" w:fill="FFFFFF"/>
        <w:spacing w:beforeLines="50" w:before="156" w:line="480" w:lineRule="atLeast"/>
        <w:ind w:firstLineChars="200" w:firstLine="480"/>
        <w:rPr>
          <w:color w:val="000000" w:themeColor="text1"/>
        </w:rPr>
      </w:pPr>
      <w:r w:rsidRPr="003056BA">
        <w:rPr>
          <w:rFonts w:hint="eastAsia"/>
          <w:color w:val="000000" w:themeColor="text1"/>
        </w:rPr>
        <w:t>（3）铁矿石期货保税交割业务的卖方为境内机构时，应向买方开具增值税普通发票。即境内卖方客户应向卖方会员单位开具增值税普通发票，卖方会员单位应向大连商品交易所开具增值税普通发票，大连商品交易所应向买方会员单位开具增值税普通发票，买方会员单位应向境内或境外买方客户开具增值税普通发票。开票金额均为大连商品交易所保税交割结算单上注明的保税交割结算金额。</w:t>
      </w:r>
    </w:p>
    <w:p w14:paraId="6B96EEF1" w14:textId="1055D8AD" w:rsidR="003056BA" w:rsidRPr="003056BA" w:rsidRDefault="003056BA" w:rsidP="003056BA">
      <w:pPr>
        <w:spacing w:beforeLines="50" w:before="156" w:line="480" w:lineRule="atLeast"/>
        <w:jc w:val="right"/>
        <w:rPr>
          <w:rFonts w:ascii="宋体" w:eastAsia="宋体" w:hAnsi="宋体"/>
          <w:color w:val="000000" w:themeColor="text1"/>
          <w:sz w:val="24"/>
          <w:szCs w:val="24"/>
        </w:rPr>
      </w:pPr>
      <w:r w:rsidRPr="003056BA">
        <w:rPr>
          <w:rFonts w:ascii="宋体" w:eastAsia="宋体" w:hAnsi="宋体" w:hint="eastAsia"/>
          <w:color w:val="000000" w:themeColor="text1"/>
          <w:sz w:val="24"/>
          <w:szCs w:val="24"/>
        </w:rPr>
        <w:lastRenderedPageBreak/>
        <w:t>（</w:t>
      </w:r>
      <w:hyperlink r:id="rId25" w:history="1">
        <w:r w:rsidR="00B04BBD" w:rsidRPr="00B04BBD">
          <w:rPr>
            <w:rStyle w:val="a4"/>
            <w:rFonts w:ascii="宋体" w:eastAsia="宋体" w:hAnsi="宋体" w:hint="eastAsia"/>
            <w:sz w:val="24"/>
            <w:szCs w:val="24"/>
          </w:rPr>
          <w:t>国家税务总局公告2018年第19号</w:t>
        </w:r>
      </w:hyperlink>
      <w:r w:rsidRPr="003056BA">
        <w:rPr>
          <w:rFonts w:ascii="宋体" w:eastAsia="宋体" w:hAnsi="宋体" w:hint="eastAsia"/>
          <w:color w:val="000000" w:themeColor="text1"/>
          <w:sz w:val="24"/>
          <w:szCs w:val="24"/>
        </w:rPr>
        <w:t>第三条第三款）</w:t>
      </w:r>
    </w:p>
    <w:p w14:paraId="18597FFA" w14:textId="77777777" w:rsidR="003056BA" w:rsidRPr="003056BA" w:rsidRDefault="003056BA" w:rsidP="003056BA">
      <w:pPr>
        <w:pStyle w:val="a3"/>
        <w:shd w:val="clear" w:color="auto" w:fill="FFFFFF"/>
        <w:spacing w:beforeLines="50" w:before="156" w:line="480" w:lineRule="atLeast"/>
        <w:ind w:firstLineChars="200" w:firstLine="480"/>
        <w:rPr>
          <w:color w:val="000000" w:themeColor="text1"/>
        </w:rPr>
      </w:pPr>
      <w:r w:rsidRPr="003056BA">
        <w:rPr>
          <w:rFonts w:hint="eastAsia"/>
          <w:color w:val="000000" w:themeColor="text1"/>
        </w:rPr>
        <w:t>（4）境内机构应将免税业务对应的保税交割结算单及开具和收取的发票、收付款凭证以及保税标准仓单清单等资料按月整理成册，留存备查。</w:t>
      </w:r>
    </w:p>
    <w:p w14:paraId="3C8F4701" w14:textId="202B0EEB" w:rsidR="003056BA" w:rsidRPr="003056BA" w:rsidRDefault="003056BA" w:rsidP="003056BA">
      <w:pPr>
        <w:spacing w:beforeLines="50" w:before="156" w:line="480" w:lineRule="atLeast"/>
        <w:jc w:val="right"/>
        <w:rPr>
          <w:rFonts w:ascii="宋体" w:eastAsia="宋体" w:hAnsi="宋体"/>
          <w:color w:val="000000" w:themeColor="text1"/>
          <w:sz w:val="24"/>
          <w:szCs w:val="24"/>
        </w:rPr>
      </w:pPr>
      <w:r w:rsidRPr="003056BA">
        <w:rPr>
          <w:rFonts w:ascii="宋体" w:eastAsia="宋体" w:hAnsi="宋体" w:hint="eastAsia"/>
          <w:color w:val="000000" w:themeColor="text1"/>
          <w:sz w:val="24"/>
          <w:szCs w:val="24"/>
        </w:rPr>
        <w:t>（</w:t>
      </w:r>
      <w:hyperlink r:id="rId26" w:history="1">
        <w:r w:rsidR="00B04BBD" w:rsidRPr="00B04BBD">
          <w:rPr>
            <w:rStyle w:val="a4"/>
            <w:rFonts w:ascii="宋体" w:eastAsia="宋体" w:hAnsi="宋体" w:hint="eastAsia"/>
            <w:sz w:val="24"/>
            <w:szCs w:val="24"/>
          </w:rPr>
          <w:t>国家税务总局公告2018年第19号</w:t>
        </w:r>
      </w:hyperlink>
      <w:r w:rsidRPr="003056BA">
        <w:rPr>
          <w:rFonts w:ascii="宋体" w:eastAsia="宋体" w:hAnsi="宋体" w:hint="eastAsia"/>
          <w:color w:val="000000" w:themeColor="text1"/>
          <w:sz w:val="24"/>
          <w:szCs w:val="24"/>
        </w:rPr>
        <w:t>第三条第四款）</w:t>
      </w:r>
    </w:p>
    <w:p w14:paraId="5FA3B925" w14:textId="77777777" w:rsidR="003056BA" w:rsidRPr="003056BA" w:rsidRDefault="003056BA" w:rsidP="003056BA">
      <w:pPr>
        <w:pStyle w:val="3"/>
        <w:spacing w:beforeLines="50" w:before="156" w:after="0" w:line="480" w:lineRule="atLeast"/>
        <w:rPr>
          <w:rFonts w:ascii="宋体" w:eastAsia="宋体" w:hAnsi="宋体"/>
          <w:sz w:val="24"/>
          <w:szCs w:val="24"/>
        </w:rPr>
      </w:pPr>
      <w:bookmarkStart w:id="22" w:name="_Toc12894958"/>
      <w:r w:rsidRPr="003056BA">
        <w:rPr>
          <w:rFonts w:ascii="宋体" w:eastAsia="宋体" w:hAnsi="宋体" w:hint="eastAsia"/>
          <w:sz w:val="24"/>
          <w:szCs w:val="24"/>
        </w:rPr>
        <w:t>2</w:t>
      </w:r>
      <w:r w:rsidRPr="003056BA">
        <w:rPr>
          <w:rFonts w:ascii="宋体" w:eastAsia="宋体" w:hAnsi="宋体"/>
          <w:sz w:val="24"/>
          <w:szCs w:val="24"/>
        </w:rPr>
        <w:t>.</w:t>
      </w:r>
      <w:r w:rsidRPr="003056BA">
        <w:rPr>
          <w:rFonts w:ascii="宋体" w:eastAsia="宋体" w:hAnsi="宋体" w:hint="eastAsia"/>
          <w:sz w:val="24"/>
          <w:szCs w:val="24"/>
        </w:rPr>
        <w:t>铁矿石期货保税交割业务的卖方为境外机构时</w:t>
      </w:r>
      <w:bookmarkEnd w:id="22"/>
    </w:p>
    <w:p w14:paraId="27029ABB" w14:textId="77777777" w:rsidR="003056BA" w:rsidRPr="003056BA" w:rsidRDefault="003056BA" w:rsidP="003056BA">
      <w:pPr>
        <w:pStyle w:val="a3"/>
        <w:shd w:val="clear" w:color="auto" w:fill="FFFFFF"/>
        <w:spacing w:beforeLines="50" w:before="156" w:line="480" w:lineRule="atLeast"/>
        <w:ind w:firstLineChars="200" w:firstLine="480"/>
        <w:rPr>
          <w:color w:val="000000" w:themeColor="text1"/>
        </w:rPr>
      </w:pPr>
      <w:bookmarkStart w:id="23" w:name="_Hlk34581098"/>
      <w:r w:rsidRPr="003056BA">
        <w:rPr>
          <w:rFonts w:hint="eastAsia"/>
          <w:color w:val="000000" w:themeColor="text1"/>
        </w:rPr>
        <w:t>卖方会员单位应向卖方索取相应的收款凭证，并以此作为免税依据。</w:t>
      </w:r>
    </w:p>
    <w:bookmarkEnd w:id="23"/>
    <w:p w14:paraId="29F6CD0E" w14:textId="4028A44D" w:rsidR="003056BA" w:rsidRPr="003056BA" w:rsidRDefault="003056BA" w:rsidP="003056BA">
      <w:pPr>
        <w:spacing w:beforeLines="50" w:before="156" w:line="480" w:lineRule="atLeast"/>
        <w:jc w:val="right"/>
        <w:rPr>
          <w:rFonts w:ascii="宋体" w:eastAsia="宋体" w:hAnsi="宋体"/>
          <w:color w:val="000000" w:themeColor="text1"/>
          <w:sz w:val="24"/>
          <w:szCs w:val="24"/>
        </w:rPr>
      </w:pPr>
      <w:r w:rsidRPr="003056BA">
        <w:rPr>
          <w:rFonts w:ascii="宋体" w:eastAsia="宋体" w:hAnsi="宋体" w:hint="eastAsia"/>
          <w:color w:val="000000" w:themeColor="text1"/>
          <w:sz w:val="24"/>
          <w:szCs w:val="24"/>
        </w:rPr>
        <w:t>（</w:t>
      </w:r>
      <w:hyperlink r:id="rId27" w:history="1">
        <w:r w:rsidR="00B04BBD" w:rsidRPr="00B04BBD">
          <w:rPr>
            <w:rStyle w:val="a4"/>
            <w:rFonts w:ascii="宋体" w:eastAsia="宋体" w:hAnsi="宋体" w:hint="eastAsia"/>
            <w:sz w:val="24"/>
            <w:szCs w:val="24"/>
          </w:rPr>
          <w:t>国家税务总局公告2018年第19号</w:t>
        </w:r>
      </w:hyperlink>
      <w:r w:rsidRPr="003056BA">
        <w:rPr>
          <w:rFonts w:ascii="宋体" w:eastAsia="宋体" w:hAnsi="宋体" w:hint="eastAsia"/>
          <w:color w:val="000000" w:themeColor="text1"/>
          <w:sz w:val="24"/>
          <w:szCs w:val="24"/>
        </w:rPr>
        <w:t>第四条）</w:t>
      </w:r>
    </w:p>
    <w:p w14:paraId="7C2552BF" w14:textId="77777777" w:rsidR="003056BA" w:rsidRPr="003056BA" w:rsidRDefault="003056BA" w:rsidP="003056BA">
      <w:pPr>
        <w:pStyle w:val="3"/>
        <w:spacing w:beforeLines="50" w:before="156" w:after="0" w:line="480" w:lineRule="atLeast"/>
        <w:rPr>
          <w:rFonts w:ascii="宋体" w:eastAsia="宋体" w:hAnsi="宋体"/>
          <w:sz w:val="24"/>
          <w:szCs w:val="24"/>
        </w:rPr>
      </w:pPr>
      <w:bookmarkStart w:id="24" w:name="_Toc12894959"/>
      <w:r w:rsidRPr="003056BA">
        <w:rPr>
          <w:rFonts w:ascii="宋体" w:eastAsia="宋体" w:hAnsi="宋体" w:hint="eastAsia"/>
          <w:sz w:val="24"/>
          <w:szCs w:val="24"/>
        </w:rPr>
        <w:t>3</w:t>
      </w:r>
      <w:r w:rsidRPr="003056BA">
        <w:rPr>
          <w:rFonts w:ascii="宋体" w:eastAsia="宋体" w:hAnsi="宋体"/>
          <w:sz w:val="24"/>
          <w:szCs w:val="24"/>
        </w:rPr>
        <w:t>.</w:t>
      </w:r>
      <w:r w:rsidRPr="003056BA">
        <w:rPr>
          <w:rFonts w:ascii="宋体" w:eastAsia="宋体" w:hAnsi="宋体" w:hint="eastAsia"/>
          <w:sz w:val="24"/>
          <w:szCs w:val="24"/>
        </w:rPr>
        <w:t>交易所的增值税管理</w:t>
      </w:r>
      <w:bookmarkEnd w:id="24"/>
    </w:p>
    <w:p w14:paraId="3EE46039" w14:textId="77777777" w:rsidR="003056BA" w:rsidRPr="003056BA" w:rsidRDefault="003056BA" w:rsidP="003056BA">
      <w:pPr>
        <w:pStyle w:val="a3"/>
        <w:shd w:val="clear" w:color="auto" w:fill="FFFFFF"/>
        <w:spacing w:beforeLines="50" w:before="156" w:line="480" w:lineRule="atLeast"/>
        <w:ind w:firstLineChars="200" w:firstLine="480"/>
        <w:rPr>
          <w:color w:val="000000" w:themeColor="text1"/>
        </w:rPr>
      </w:pPr>
      <w:r w:rsidRPr="003056BA">
        <w:rPr>
          <w:rFonts w:hint="eastAsia"/>
          <w:color w:val="000000" w:themeColor="text1"/>
        </w:rPr>
        <w:t>（1）大连商品交易所的增值税管理规定，参照本公告第三条对境内机构的增值税管理规定执行。</w:t>
      </w:r>
    </w:p>
    <w:p w14:paraId="5A4C47D7" w14:textId="2CACFAE2" w:rsidR="003056BA" w:rsidRPr="003056BA" w:rsidRDefault="003056BA" w:rsidP="003056BA">
      <w:pPr>
        <w:spacing w:beforeLines="50" w:before="156" w:line="480" w:lineRule="atLeast"/>
        <w:jc w:val="right"/>
        <w:rPr>
          <w:rFonts w:ascii="宋体" w:eastAsia="宋体" w:hAnsi="宋体"/>
          <w:color w:val="000000" w:themeColor="text1"/>
          <w:sz w:val="24"/>
          <w:szCs w:val="24"/>
        </w:rPr>
      </w:pPr>
      <w:r w:rsidRPr="003056BA">
        <w:rPr>
          <w:rFonts w:ascii="宋体" w:eastAsia="宋体" w:hAnsi="宋体" w:hint="eastAsia"/>
          <w:color w:val="000000" w:themeColor="text1"/>
          <w:sz w:val="24"/>
          <w:szCs w:val="24"/>
        </w:rPr>
        <w:t>（</w:t>
      </w:r>
      <w:hyperlink r:id="rId28" w:history="1">
        <w:r w:rsidR="00B04BBD" w:rsidRPr="00B04BBD">
          <w:rPr>
            <w:rStyle w:val="a4"/>
            <w:rFonts w:ascii="宋体" w:eastAsia="宋体" w:hAnsi="宋体" w:hint="eastAsia"/>
            <w:sz w:val="24"/>
            <w:szCs w:val="24"/>
          </w:rPr>
          <w:t>国家税务总局公告2018年第19号</w:t>
        </w:r>
      </w:hyperlink>
      <w:r w:rsidRPr="003056BA">
        <w:rPr>
          <w:rFonts w:ascii="宋体" w:eastAsia="宋体" w:hAnsi="宋体" w:hint="eastAsia"/>
          <w:color w:val="000000" w:themeColor="text1"/>
          <w:sz w:val="24"/>
          <w:szCs w:val="24"/>
        </w:rPr>
        <w:t>第五条）</w:t>
      </w:r>
    </w:p>
    <w:p w14:paraId="3B6CFAD7" w14:textId="77777777" w:rsidR="003056BA" w:rsidRPr="003056BA" w:rsidRDefault="003056BA" w:rsidP="003056BA">
      <w:pPr>
        <w:pStyle w:val="a3"/>
        <w:shd w:val="clear" w:color="auto" w:fill="FFFFFF"/>
        <w:spacing w:beforeLines="50" w:before="156" w:line="480" w:lineRule="atLeast"/>
        <w:ind w:firstLineChars="200" w:firstLine="480"/>
        <w:rPr>
          <w:color w:val="000000" w:themeColor="text1"/>
        </w:rPr>
      </w:pPr>
      <w:r w:rsidRPr="003056BA">
        <w:rPr>
          <w:rFonts w:hint="eastAsia"/>
          <w:color w:val="000000" w:themeColor="text1"/>
        </w:rPr>
        <w:t>（2）上海国际能源交易中心的增值税管理规定，参照本公告第三条对境内机构的增值税管理规定执行。</w:t>
      </w:r>
    </w:p>
    <w:p w14:paraId="4FB9BB41" w14:textId="0F7522C7" w:rsidR="003056BA" w:rsidRPr="003056BA" w:rsidRDefault="003056BA" w:rsidP="003056BA">
      <w:pPr>
        <w:spacing w:beforeLines="50" w:before="156" w:line="480" w:lineRule="atLeast"/>
        <w:jc w:val="right"/>
        <w:rPr>
          <w:rFonts w:ascii="宋体" w:eastAsia="宋体" w:hAnsi="宋体"/>
          <w:color w:val="000000" w:themeColor="text1"/>
          <w:sz w:val="24"/>
          <w:szCs w:val="24"/>
        </w:rPr>
      </w:pPr>
      <w:r w:rsidRPr="003056BA">
        <w:rPr>
          <w:rFonts w:ascii="宋体" w:eastAsia="宋体" w:hAnsi="宋体" w:cs="宋体" w:hint="eastAsia"/>
          <w:color w:val="000000" w:themeColor="text1"/>
          <w:kern w:val="0"/>
          <w:sz w:val="24"/>
          <w:szCs w:val="24"/>
        </w:rPr>
        <w:t>（</w:t>
      </w:r>
      <w:hyperlink r:id="rId29" w:history="1">
        <w:r w:rsidR="00B04BBD" w:rsidRPr="00B04BBD">
          <w:rPr>
            <w:rStyle w:val="a4"/>
            <w:rFonts w:ascii="宋体" w:eastAsia="宋体" w:hAnsi="宋体" w:hint="eastAsia"/>
            <w:sz w:val="24"/>
            <w:szCs w:val="24"/>
          </w:rPr>
          <w:t>国家税务总局公告2017年第29号</w:t>
        </w:r>
      </w:hyperlink>
      <w:r w:rsidRPr="003056BA">
        <w:rPr>
          <w:rFonts w:ascii="宋体" w:eastAsia="宋体" w:hAnsi="宋体" w:hint="eastAsia"/>
          <w:color w:val="000000" w:themeColor="text1"/>
          <w:sz w:val="24"/>
          <w:szCs w:val="24"/>
        </w:rPr>
        <w:t>第五条</w:t>
      </w:r>
      <w:r w:rsidRPr="003056BA">
        <w:rPr>
          <w:rFonts w:ascii="宋体" w:eastAsia="宋体" w:hAnsi="宋体" w:cs="宋体" w:hint="eastAsia"/>
          <w:color w:val="000000" w:themeColor="text1"/>
          <w:kern w:val="0"/>
          <w:sz w:val="24"/>
          <w:szCs w:val="24"/>
        </w:rPr>
        <w:t>）</w:t>
      </w:r>
    </w:p>
    <w:p w14:paraId="23519D3C" w14:textId="77777777" w:rsidR="003056BA" w:rsidRPr="003056BA" w:rsidRDefault="003056BA" w:rsidP="003056BA">
      <w:pPr>
        <w:pStyle w:val="2"/>
        <w:spacing w:beforeLines="50" w:before="156" w:after="0" w:line="480" w:lineRule="atLeast"/>
        <w:rPr>
          <w:rFonts w:ascii="宋体" w:eastAsia="宋体" w:hAnsi="宋体"/>
          <w:sz w:val="24"/>
          <w:szCs w:val="24"/>
        </w:rPr>
      </w:pPr>
      <w:bookmarkStart w:id="25" w:name="_Toc12894960"/>
      <w:r w:rsidRPr="003056BA">
        <w:rPr>
          <w:rFonts w:ascii="宋体" w:eastAsia="宋体" w:hAnsi="宋体" w:hint="eastAsia"/>
          <w:sz w:val="24"/>
          <w:szCs w:val="24"/>
        </w:rPr>
        <w:t>（四）适用范围</w:t>
      </w:r>
      <w:bookmarkEnd w:id="25"/>
    </w:p>
    <w:p w14:paraId="0D09BA80" w14:textId="77777777" w:rsidR="003056BA" w:rsidRPr="003056BA" w:rsidRDefault="003056BA" w:rsidP="003056BA">
      <w:pPr>
        <w:pStyle w:val="a3"/>
        <w:shd w:val="clear" w:color="auto" w:fill="FFFFFF"/>
        <w:spacing w:beforeLines="50" w:before="156" w:line="480" w:lineRule="atLeast"/>
        <w:ind w:firstLineChars="200" w:firstLine="480"/>
        <w:rPr>
          <w:color w:val="000000" w:themeColor="text1"/>
        </w:rPr>
      </w:pPr>
      <w:r w:rsidRPr="003056BA">
        <w:rPr>
          <w:rFonts w:hint="eastAsia"/>
          <w:color w:val="000000" w:themeColor="text1"/>
        </w:rPr>
        <w:t>大连商品交易所其他期货品种的保税交割业务，适用免征增值税政策的，其增值税管理参照本公告执行。</w:t>
      </w:r>
    </w:p>
    <w:p w14:paraId="494480B7" w14:textId="075EF335" w:rsidR="003056BA" w:rsidRPr="003056BA" w:rsidRDefault="003056BA" w:rsidP="003056BA">
      <w:pPr>
        <w:spacing w:beforeLines="50" w:before="156" w:line="480" w:lineRule="atLeast"/>
        <w:jc w:val="right"/>
        <w:rPr>
          <w:rFonts w:ascii="宋体" w:eastAsia="宋体" w:hAnsi="宋体"/>
          <w:color w:val="000000" w:themeColor="text1"/>
          <w:sz w:val="24"/>
          <w:szCs w:val="24"/>
        </w:rPr>
      </w:pPr>
      <w:r w:rsidRPr="003056BA">
        <w:rPr>
          <w:rFonts w:ascii="宋体" w:eastAsia="宋体" w:hAnsi="宋体" w:hint="eastAsia"/>
          <w:color w:val="000000" w:themeColor="text1"/>
          <w:sz w:val="24"/>
          <w:szCs w:val="24"/>
        </w:rPr>
        <w:t>（</w:t>
      </w:r>
      <w:hyperlink r:id="rId30" w:history="1">
        <w:r w:rsidR="00B04BBD" w:rsidRPr="00B04BBD">
          <w:rPr>
            <w:rStyle w:val="a4"/>
            <w:rFonts w:ascii="宋体" w:eastAsia="宋体" w:hAnsi="宋体" w:hint="eastAsia"/>
            <w:sz w:val="24"/>
            <w:szCs w:val="24"/>
          </w:rPr>
          <w:t>国家税务总局公告2018年第19号</w:t>
        </w:r>
      </w:hyperlink>
      <w:r w:rsidRPr="003056BA">
        <w:rPr>
          <w:rFonts w:ascii="宋体" w:eastAsia="宋体" w:hAnsi="宋体" w:hint="eastAsia"/>
          <w:color w:val="000000" w:themeColor="text1"/>
          <w:sz w:val="24"/>
          <w:szCs w:val="24"/>
        </w:rPr>
        <w:t>第六条）</w:t>
      </w:r>
    </w:p>
    <w:p w14:paraId="640AB981" w14:textId="77777777" w:rsidR="003056BA" w:rsidRPr="003056BA" w:rsidRDefault="003056BA" w:rsidP="003056BA">
      <w:pPr>
        <w:pStyle w:val="a3"/>
        <w:shd w:val="clear" w:color="auto" w:fill="FFFFFF"/>
        <w:spacing w:beforeLines="50" w:before="156" w:line="480" w:lineRule="atLeast"/>
        <w:ind w:firstLineChars="200" w:firstLine="480"/>
        <w:rPr>
          <w:color w:val="000000" w:themeColor="text1"/>
        </w:rPr>
      </w:pPr>
      <w:r w:rsidRPr="003056BA">
        <w:rPr>
          <w:rFonts w:hint="eastAsia"/>
          <w:color w:val="000000" w:themeColor="text1"/>
        </w:rPr>
        <w:t>上海期货交易所与上海国际能源交易中心其他期货品种的保税交割业务，适用免征增值税政策的，其增值税管理参照本公告执行。</w:t>
      </w:r>
    </w:p>
    <w:p w14:paraId="0A7B7F94" w14:textId="43135459" w:rsidR="003056BA" w:rsidRPr="003056BA" w:rsidRDefault="003056BA" w:rsidP="003056BA">
      <w:pPr>
        <w:spacing w:beforeLines="50" w:before="156" w:line="480" w:lineRule="atLeast"/>
        <w:jc w:val="right"/>
        <w:rPr>
          <w:rFonts w:ascii="宋体" w:eastAsia="宋体" w:hAnsi="宋体" w:cs="宋体"/>
          <w:color w:val="000000" w:themeColor="text1"/>
          <w:kern w:val="0"/>
          <w:sz w:val="24"/>
          <w:szCs w:val="24"/>
        </w:rPr>
      </w:pPr>
      <w:r w:rsidRPr="003056BA">
        <w:rPr>
          <w:rFonts w:ascii="宋体" w:eastAsia="宋体" w:hAnsi="宋体" w:cs="宋体" w:hint="eastAsia"/>
          <w:color w:val="000000" w:themeColor="text1"/>
          <w:kern w:val="0"/>
          <w:sz w:val="24"/>
          <w:szCs w:val="24"/>
        </w:rPr>
        <w:t>（</w:t>
      </w:r>
      <w:hyperlink r:id="rId31" w:history="1">
        <w:r w:rsidR="00B04BBD" w:rsidRPr="00B04BBD">
          <w:rPr>
            <w:rStyle w:val="a4"/>
            <w:rFonts w:ascii="宋体" w:eastAsia="宋体" w:hAnsi="宋体" w:hint="eastAsia"/>
            <w:sz w:val="24"/>
            <w:szCs w:val="24"/>
          </w:rPr>
          <w:t>国家税务总局公告2017年第29号</w:t>
        </w:r>
      </w:hyperlink>
      <w:r w:rsidRPr="003056BA">
        <w:rPr>
          <w:rFonts w:ascii="宋体" w:eastAsia="宋体" w:hAnsi="宋体" w:hint="eastAsia"/>
          <w:color w:val="000000" w:themeColor="text1"/>
          <w:sz w:val="24"/>
          <w:szCs w:val="24"/>
        </w:rPr>
        <w:t>第六条</w:t>
      </w:r>
      <w:r w:rsidRPr="003056BA">
        <w:rPr>
          <w:rFonts w:ascii="宋体" w:eastAsia="宋体" w:hAnsi="宋体" w:cs="宋体" w:hint="eastAsia"/>
          <w:color w:val="000000" w:themeColor="text1"/>
          <w:kern w:val="0"/>
          <w:sz w:val="24"/>
          <w:szCs w:val="24"/>
        </w:rPr>
        <w:t>）</w:t>
      </w:r>
    </w:p>
    <w:p w14:paraId="3EDA11F4" w14:textId="77777777" w:rsidR="003056BA" w:rsidRPr="003056BA" w:rsidRDefault="003056BA" w:rsidP="003056BA">
      <w:pPr>
        <w:pStyle w:val="2"/>
        <w:spacing w:beforeLines="50" w:before="156" w:after="0" w:line="480" w:lineRule="atLeast"/>
        <w:rPr>
          <w:rFonts w:ascii="宋体" w:eastAsia="宋体" w:hAnsi="宋体"/>
          <w:sz w:val="24"/>
          <w:szCs w:val="24"/>
        </w:rPr>
      </w:pPr>
      <w:bookmarkStart w:id="26" w:name="_Toc12894961"/>
      <w:r w:rsidRPr="003056BA">
        <w:rPr>
          <w:rFonts w:ascii="宋体" w:eastAsia="宋体" w:hAnsi="宋体" w:hint="eastAsia"/>
          <w:sz w:val="24"/>
          <w:szCs w:val="24"/>
        </w:rPr>
        <w:t>（五）执行日期</w:t>
      </w:r>
      <w:bookmarkEnd w:id="26"/>
    </w:p>
    <w:p w14:paraId="4EEF9887" w14:textId="77777777" w:rsidR="003056BA" w:rsidRPr="003056BA" w:rsidRDefault="003056BA" w:rsidP="003056BA">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3056BA">
        <w:rPr>
          <w:rFonts w:ascii="宋体" w:eastAsia="宋体" w:hAnsi="宋体" w:cs="宋体" w:hint="eastAsia"/>
          <w:color w:val="000000" w:themeColor="text1"/>
          <w:kern w:val="0"/>
          <w:sz w:val="24"/>
          <w:szCs w:val="24"/>
        </w:rPr>
        <w:t>本通知自2015年4月1日起执行。</w:t>
      </w:r>
    </w:p>
    <w:p w14:paraId="58BB598B" w14:textId="5EC60440" w:rsidR="003056BA" w:rsidRPr="003056BA" w:rsidRDefault="003056BA" w:rsidP="003056BA">
      <w:pPr>
        <w:spacing w:beforeLines="50" w:before="156" w:line="480" w:lineRule="atLeast"/>
        <w:jc w:val="right"/>
        <w:rPr>
          <w:rFonts w:ascii="宋体" w:eastAsia="宋体" w:hAnsi="宋体"/>
          <w:color w:val="000000" w:themeColor="text1"/>
          <w:sz w:val="24"/>
          <w:szCs w:val="24"/>
        </w:rPr>
      </w:pPr>
      <w:r w:rsidRPr="003056BA">
        <w:rPr>
          <w:rFonts w:ascii="宋体" w:eastAsia="宋体" w:hAnsi="宋体" w:hint="eastAsia"/>
          <w:color w:val="000000" w:themeColor="text1"/>
          <w:sz w:val="24"/>
          <w:szCs w:val="24"/>
        </w:rPr>
        <w:lastRenderedPageBreak/>
        <w:t>（</w:t>
      </w:r>
      <w:hyperlink r:id="rId32" w:history="1">
        <w:r w:rsidR="00B04BBD" w:rsidRPr="00B04BBD">
          <w:rPr>
            <w:rStyle w:val="a4"/>
            <w:rFonts w:ascii="宋体" w:eastAsia="宋体" w:hAnsi="宋体" w:hint="eastAsia"/>
            <w:sz w:val="24"/>
            <w:szCs w:val="24"/>
          </w:rPr>
          <w:t>财税〔2015〕35号</w:t>
        </w:r>
      </w:hyperlink>
      <w:r w:rsidRPr="003056BA">
        <w:rPr>
          <w:rFonts w:ascii="宋体" w:eastAsia="宋体" w:hAnsi="宋体" w:hint="eastAsia"/>
          <w:color w:val="000000" w:themeColor="text1"/>
          <w:sz w:val="24"/>
          <w:szCs w:val="24"/>
        </w:rPr>
        <w:t>第四条）</w:t>
      </w:r>
    </w:p>
    <w:p w14:paraId="3DABC5BB" w14:textId="77777777" w:rsidR="004709B3" w:rsidRPr="00D227E0" w:rsidRDefault="004709B3" w:rsidP="00F83366">
      <w:pPr>
        <w:pStyle w:val="a3"/>
        <w:shd w:val="clear" w:color="auto" w:fill="FFFFFF"/>
        <w:spacing w:beforeLines="50" w:before="156" w:line="480" w:lineRule="atLeast"/>
        <w:ind w:firstLineChars="200" w:firstLine="480"/>
        <w:rPr>
          <w:color w:val="000000" w:themeColor="text1"/>
          <w:shd w:val="clear" w:color="auto" w:fill="FFFFFF"/>
        </w:rPr>
      </w:pPr>
    </w:p>
    <w:sectPr w:rsidR="004709B3" w:rsidRPr="00D227E0">
      <w:footerReference w:type="default" r:id="rId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87F1A" w14:textId="77777777" w:rsidR="007A3A6D" w:rsidRDefault="007A3A6D" w:rsidP="008A4976">
      <w:r>
        <w:separator/>
      </w:r>
    </w:p>
  </w:endnote>
  <w:endnote w:type="continuationSeparator" w:id="0">
    <w:p w14:paraId="4334A945" w14:textId="77777777" w:rsidR="007A3A6D" w:rsidRDefault="007A3A6D" w:rsidP="008A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3220775"/>
      <w:docPartObj>
        <w:docPartGallery w:val="Page Numbers (Bottom of Page)"/>
        <w:docPartUnique/>
      </w:docPartObj>
    </w:sdtPr>
    <w:sdtEndPr/>
    <w:sdtContent>
      <w:sdt>
        <w:sdtPr>
          <w:id w:val="1728636285"/>
          <w:docPartObj>
            <w:docPartGallery w:val="Page Numbers (Top of Page)"/>
            <w:docPartUnique/>
          </w:docPartObj>
        </w:sdtPr>
        <w:sdtEndPr/>
        <w:sdtContent>
          <w:p w14:paraId="3F50C3D5" w14:textId="71B7D05E" w:rsidR="00E9063E" w:rsidRDefault="00E9063E">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35BCFAC8" w14:textId="77777777" w:rsidR="00E9063E" w:rsidRDefault="00E906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2B10A" w14:textId="77777777" w:rsidR="007A3A6D" w:rsidRDefault="007A3A6D" w:rsidP="008A4976">
      <w:r>
        <w:separator/>
      </w:r>
    </w:p>
  </w:footnote>
  <w:footnote w:type="continuationSeparator" w:id="0">
    <w:p w14:paraId="3F3044BC" w14:textId="77777777" w:rsidR="007A3A6D" w:rsidRDefault="007A3A6D" w:rsidP="008A4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44C"/>
    <w:rsid w:val="000116EF"/>
    <w:rsid w:val="00014CD4"/>
    <w:rsid w:val="00017FC7"/>
    <w:rsid w:val="000219A8"/>
    <w:rsid w:val="00027DBA"/>
    <w:rsid w:val="0004598D"/>
    <w:rsid w:val="000677D9"/>
    <w:rsid w:val="000A64D6"/>
    <w:rsid w:val="000C39CC"/>
    <w:rsid w:val="000D68FC"/>
    <w:rsid w:val="000F63F0"/>
    <w:rsid w:val="001006DF"/>
    <w:rsid w:val="00103159"/>
    <w:rsid w:val="001155BA"/>
    <w:rsid w:val="00121E60"/>
    <w:rsid w:val="001308B0"/>
    <w:rsid w:val="0013157C"/>
    <w:rsid w:val="00132002"/>
    <w:rsid w:val="00143569"/>
    <w:rsid w:val="00150208"/>
    <w:rsid w:val="001513C9"/>
    <w:rsid w:val="00154FB8"/>
    <w:rsid w:val="00155BDD"/>
    <w:rsid w:val="00156542"/>
    <w:rsid w:val="00160A63"/>
    <w:rsid w:val="0017199C"/>
    <w:rsid w:val="001728BF"/>
    <w:rsid w:val="00176747"/>
    <w:rsid w:val="001772C9"/>
    <w:rsid w:val="00184243"/>
    <w:rsid w:val="00191751"/>
    <w:rsid w:val="001C03AC"/>
    <w:rsid w:val="001F68DD"/>
    <w:rsid w:val="002117B6"/>
    <w:rsid w:val="002149B9"/>
    <w:rsid w:val="00223407"/>
    <w:rsid w:val="002362EB"/>
    <w:rsid w:val="0024099E"/>
    <w:rsid w:val="002520C4"/>
    <w:rsid w:val="002529D0"/>
    <w:rsid w:val="0025647B"/>
    <w:rsid w:val="0026184E"/>
    <w:rsid w:val="002872DB"/>
    <w:rsid w:val="002A1609"/>
    <w:rsid w:val="002C12B7"/>
    <w:rsid w:val="002C7C6C"/>
    <w:rsid w:val="002D044F"/>
    <w:rsid w:val="002D2FBC"/>
    <w:rsid w:val="002E6A5E"/>
    <w:rsid w:val="002E7F9B"/>
    <w:rsid w:val="003035DC"/>
    <w:rsid w:val="00305697"/>
    <w:rsid w:val="003056BA"/>
    <w:rsid w:val="00312EA9"/>
    <w:rsid w:val="00321CBA"/>
    <w:rsid w:val="00322677"/>
    <w:rsid w:val="00333946"/>
    <w:rsid w:val="00345449"/>
    <w:rsid w:val="00372C73"/>
    <w:rsid w:val="0038111A"/>
    <w:rsid w:val="003811BF"/>
    <w:rsid w:val="00390DA8"/>
    <w:rsid w:val="003A1160"/>
    <w:rsid w:val="003A74F1"/>
    <w:rsid w:val="003C497B"/>
    <w:rsid w:val="003C7F2C"/>
    <w:rsid w:val="003F6377"/>
    <w:rsid w:val="00401CBE"/>
    <w:rsid w:val="00406804"/>
    <w:rsid w:val="00420292"/>
    <w:rsid w:val="00454939"/>
    <w:rsid w:val="0046344C"/>
    <w:rsid w:val="004709B3"/>
    <w:rsid w:val="004A5C13"/>
    <w:rsid w:val="004B4947"/>
    <w:rsid w:val="004B74E4"/>
    <w:rsid w:val="004B7B26"/>
    <w:rsid w:val="004D09C2"/>
    <w:rsid w:val="004D1584"/>
    <w:rsid w:val="004E4CC6"/>
    <w:rsid w:val="004E5998"/>
    <w:rsid w:val="004F31A6"/>
    <w:rsid w:val="005037B6"/>
    <w:rsid w:val="00524360"/>
    <w:rsid w:val="00534A91"/>
    <w:rsid w:val="00542FA5"/>
    <w:rsid w:val="0054631F"/>
    <w:rsid w:val="0056010D"/>
    <w:rsid w:val="00562B63"/>
    <w:rsid w:val="005824F0"/>
    <w:rsid w:val="00584CB6"/>
    <w:rsid w:val="00586D71"/>
    <w:rsid w:val="005B647F"/>
    <w:rsid w:val="005B706B"/>
    <w:rsid w:val="005F36A9"/>
    <w:rsid w:val="00605259"/>
    <w:rsid w:val="006527E3"/>
    <w:rsid w:val="006537F7"/>
    <w:rsid w:val="00662320"/>
    <w:rsid w:val="00666C2A"/>
    <w:rsid w:val="00681677"/>
    <w:rsid w:val="00682B3C"/>
    <w:rsid w:val="006853B2"/>
    <w:rsid w:val="006A1C66"/>
    <w:rsid w:val="006B0E2E"/>
    <w:rsid w:val="006C334B"/>
    <w:rsid w:val="006D1B38"/>
    <w:rsid w:val="006D1D39"/>
    <w:rsid w:val="006E0E4C"/>
    <w:rsid w:val="006E2A6B"/>
    <w:rsid w:val="006E3A91"/>
    <w:rsid w:val="006F1D1C"/>
    <w:rsid w:val="006F491F"/>
    <w:rsid w:val="006F4E16"/>
    <w:rsid w:val="007007C7"/>
    <w:rsid w:val="00703816"/>
    <w:rsid w:val="007052BC"/>
    <w:rsid w:val="007170AA"/>
    <w:rsid w:val="00722621"/>
    <w:rsid w:val="007403B4"/>
    <w:rsid w:val="00755EB9"/>
    <w:rsid w:val="00756F33"/>
    <w:rsid w:val="00766ECD"/>
    <w:rsid w:val="007A3A6D"/>
    <w:rsid w:val="007A62B5"/>
    <w:rsid w:val="007B5378"/>
    <w:rsid w:val="007B5A0A"/>
    <w:rsid w:val="007C4C46"/>
    <w:rsid w:val="007C5738"/>
    <w:rsid w:val="007D7D01"/>
    <w:rsid w:val="007E13F0"/>
    <w:rsid w:val="007F66B9"/>
    <w:rsid w:val="0080484F"/>
    <w:rsid w:val="0081395D"/>
    <w:rsid w:val="00821857"/>
    <w:rsid w:val="00823209"/>
    <w:rsid w:val="008240FD"/>
    <w:rsid w:val="00827268"/>
    <w:rsid w:val="008664CB"/>
    <w:rsid w:val="0088139C"/>
    <w:rsid w:val="008A4976"/>
    <w:rsid w:val="008B7351"/>
    <w:rsid w:val="008C4243"/>
    <w:rsid w:val="008D5C7D"/>
    <w:rsid w:val="008E5E79"/>
    <w:rsid w:val="008E61BB"/>
    <w:rsid w:val="008F47BC"/>
    <w:rsid w:val="008F7B13"/>
    <w:rsid w:val="00923C53"/>
    <w:rsid w:val="009308B6"/>
    <w:rsid w:val="00940E45"/>
    <w:rsid w:val="0098765B"/>
    <w:rsid w:val="0099041D"/>
    <w:rsid w:val="00995B62"/>
    <w:rsid w:val="009A0FE2"/>
    <w:rsid w:val="009B19FF"/>
    <w:rsid w:val="009D6571"/>
    <w:rsid w:val="009D726B"/>
    <w:rsid w:val="009F496B"/>
    <w:rsid w:val="009F5738"/>
    <w:rsid w:val="00A01BC0"/>
    <w:rsid w:val="00A05895"/>
    <w:rsid w:val="00A13986"/>
    <w:rsid w:val="00A14DAC"/>
    <w:rsid w:val="00A37167"/>
    <w:rsid w:val="00A5457D"/>
    <w:rsid w:val="00A61B18"/>
    <w:rsid w:val="00A763A8"/>
    <w:rsid w:val="00A82E11"/>
    <w:rsid w:val="00A9033C"/>
    <w:rsid w:val="00A92C29"/>
    <w:rsid w:val="00AB1298"/>
    <w:rsid w:val="00AB3988"/>
    <w:rsid w:val="00AC64DC"/>
    <w:rsid w:val="00AD1874"/>
    <w:rsid w:val="00AE18C8"/>
    <w:rsid w:val="00AE2264"/>
    <w:rsid w:val="00AE4E06"/>
    <w:rsid w:val="00AE598B"/>
    <w:rsid w:val="00B01699"/>
    <w:rsid w:val="00B03F68"/>
    <w:rsid w:val="00B04BBD"/>
    <w:rsid w:val="00B10769"/>
    <w:rsid w:val="00B10E3F"/>
    <w:rsid w:val="00B11BAA"/>
    <w:rsid w:val="00B14E7A"/>
    <w:rsid w:val="00B27244"/>
    <w:rsid w:val="00B46CAC"/>
    <w:rsid w:val="00B66DA5"/>
    <w:rsid w:val="00B73878"/>
    <w:rsid w:val="00B86D93"/>
    <w:rsid w:val="00B92645"/>
    <w:rsid w:val="00BB0495"/>
    <w:rsid w:val="00BB3FF5"/>
    <w:rsid w:val="00BB7BB8"/>
    <w:rsid w:val="00BC03CA"/>
    <w:rsid w:val="00BD6687"/>
    <w:rsid w:val="00BF394F"/>
    <w:rsid w:val="00C03867"/>
    <w:rsid w:val="00C20B05"/>
    <w:rsid w:val="00C33B7D"/>
    <w:rsid w:val="00C407EB"/>
    <w:rsid w:val="00C457C7"/>
    <w:rsid w:val="00C617D7"/>
    <w:rsid w:val="00C8306C"/>
    <w:rsid w:val="00C833E3"/>
    <w:rsid w:val="00C93749"/>
    <w:rsid w:val="00CA0606"/>
    <w:rsid w:val="00CA532D"/>
    <w:rsid w:val="00CB0DBB"/>
    <w:rsid w:val="00CB1541"/>
    <w:rsid w:val="00CB7350"/>
    <w:rsid w:val="00CC0838"/>
    <w:rsid w:val="00CC12FA"/>
    <w:rsid w:val="00CC2C29"/>
    <w:rsid w:val="00CE0658"/>
    <w:rsid w:val="00CE6AC2"/>
    <w:rsid w:val="00CF09F4"/>
    <w:rsid w:val="00CF38AB"/>
    <w:rsid w:val="00CF3D86"/>
    <w:rsid w:val="00D001B8"/>
    <w:rsid w:val="00D227E0"/>
    <w:rsid w:val="00D243FC"/>
    <w:rsid w:val="00D35F24"/>
    <w:rsid w:val="00D718EB"/>
    <w:rsid w:val="00D74CEE"/>
    <w:rsid w:val="00D75780"/>
    <w:rsid w:val="00DA10B7"/>
    <w:rsid w:val="00DB2732"/>
    <w:rsid w:val="00DD08AF"/>
    <w:rsid w:val="00DD7786"/>
    <w:rsid w:val="00DE72F6"/>
    <w:rsid w:val="00E12420"/>
    <w:rsid w:val="00E16CA9"/>
    <w:rsid w:val="00E44042"/>
    <w:rsid w:val="00E45235"/>
    <w:rsid w:val="00E470EA"/>
    <w:rsid w:val="00E477C0"/>
    <w:rsid w:val="00E616F1"/>
    <w:rsid w:val="00E65D3C"/>
    <w:rsid w:val="00E663A9"/>
    <w:rsid w:val="00E73BCF"/>
    <w:rsid w:val="00E8165C"/>
    <w:rsid w:val="00E9063E"/>
    <w:rsid w:val="00EB605B"/>
    <w:rsid w:val="00EB6609"/>
    <w:rsid w:val="00EC4063"/>
    <w:rsid w:val="00ED061F"/>
    <w:rsid w:val="00ED0DC9"/>
    <w:rsid w:val="00ED50A8"/>
    <w:rsid w:val="00EE606E"/>
    <w:rsid w:val="00EE63C8"/>
    <w:rsid w:val="00F15F80"/>
    <w:rsid w:val="00F165D2"/>
    <w:rsid w:val="00F30237"/>
    <w:rsid w:val="00F45CC6"/>
    <w:rsid w:val="00F47016"/>
    <w:rsid w:val="00F57C18"/>
    <w:rsid w:val="00F7410F"/>
    <w:rsid w:val="00F75930"/>
    <w:rsid w:val="00F83366"/>
    <w:rsid w:val="00F945C0"/>
    <w:rsid w:val="00FA2F5B"/>
    <w:rsid w:val="00FA7DCA"/>
    <w:rsid w:val="00FB3C47"/>
    <w:rsid w:val="00FB6703"/>
    <w:rsid w:val="00FB6999"/>
    <w:rsid w:val="00FC0FA7"/>
    <w:rsid w:val="00FC1C5F"/>
    <w:rsid w:val="00FC22D8"/>
    <w:rsid w:val="00FC5A25"/>
    <w:rsid w:val="00FE5A77"/>
    <w:rsid w:val="00FF0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375EF"/>
  <w15:chartTrackingRefBased/>
  <w15:docId w15:val="{0219E718-9E0F-46CB-9F5B-B0475DA9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3B2"/>
    <w:pPr>
      <w:widowControl w:val="0"/>
      <w:jc w:val="both"/>
    </w:pPr>
  </w:style>
  <w:style w:type="paragraph" w:styleId="1">
    <w:name w:val="heading 1"/>
    <w:basedOn w:val="a"/>
    <w:next w:val="a"/>
    <w:link w:val="10"/>
    <w:qFormat/>
    <w:rsid w:val="008D5C7D"/>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2E7F9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6853B2"/>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6853B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223407"/>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6F1D1C"/>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54631F"/>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6853B2"/>
    <w:rPr>
      <w:b/>
      <w:bCs/>
      <w:sz w:val="32"/>
      <w:szCs w:val="32"/>
    </w:rPr>
  </w:style>
  <w:style w:type="character" w:customStyle="1" w:styleId="40">
    <w:name w:val="标题 4 字符"/>
    <w:basedOn w:val="a0"/>
    <w:link w:val="4"/>
    <w:uiPriority w:val="9"/>
    <w:rsid w:val="006853B2"/>
    <w:rPr>
      <w:rFonts w:asciiTheme="majorHAnsi" w:eastAsiaTheme="majorEastAsia" w:hAnsiTheme="majorHAnsi" w:cstheme="majorBidi"/>
      <w:b/>
      <w:bCs/>
      <w:sz w:val="28"/>
      <w:szCs w:val="28"/>
    </w:rPr>
  </w:style>
  <w:style w:type="paragraph" w:styleId="a3">
    <w:name w:val="Normal (Web)"/>
    <w:basedOn w:val="a"/>
    <w:uiPriority w:val="99"/>
    <w:unhideWhenUsed/>
    <w:rsid w:val="006853B2"/>
    <w:pPr>
      <w:widowControl/>
      <w:jc w:val="left"/>
    </w:pPr>
    <w:rPr>
      <w:rFonts w:ascii="宋体" w:eastAsia="宋体" w:hAnsi="宋体" w:cs="宋体"/>
      <w:kern w:val="0"/>
      <w:sz w:val="24"/>
      <w:szCs w:val="24"/>
    </w:rPr>
  </w:style>
  <w:style w:type="character" w:styleId="a4">
    <w:name w:val="Hyperlink"/>
    <w:basedOn w:val="a0"/>
    <w:uiPriority w:val="99"/>
    <w:unhideWhenUsed/>
    <w:rsid w:val="006853B2"/>
    <w:rPr>
      <w:color w:val="0000FF"/>
      <w:u w:val="single"/>
    </w:rPr>
  </w:style>
  <w:style w:type="character" w:customStyle="1" w:styleId="10">
    <w:name w:val="标题 1 字符"/>
    <w:basedOn w:val="a0"/>
    <w:link w:val="1"/>
    <w:rsid w:val="008D5C7D"/>
    <w:rPr>
      <w:b/>
      <w:bCs/>
      <w:kern w:val="44"/>
      <w:sz w:val="44"/>
      <w:szCs w:val="44"/>
    </w:rPr>
  </w:style>
  <w:style w:type="character" w:customStyle="1" w:styleId="20">
    <w:name w:val="标题 2 字符"/>
    <w:basedOn w:val="a0"/>
    <w:link w:val="2"/>
    <w:rsid w:val="002E7F9B"/>
    <w:rPr>
      <w:rFonts w:asciiTheme="majorHAnsi" w:eastAsiaTheme="majorEastAsia" w:hAnsiTheme="majorHAnsi" w:cstheme="majorBidi"/>
      <w:b/>
      <w:bCs/>
      <w:sz w:val="32"/>
      <w:szCs w:val="32"/>
    </w:rPr>
  </w:style>
  <w:style w:type="paragraph" w:styleId="a5">
    <w:name w:val="header"/>
    <w:basedOn w:val="a"/>
    <w:link w:val="a6"/>
    <w:uiPriority w:val="99"/>
    <w:unhideWhenUsed/>
    <w:rsid w:val="008A497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A4976"/>
    <w:rPr>
      <w:sz w:val="18"/>
      <w:szCs w:val="18"/>
    </w:rPr>
  </w:style>
  <w:style w:type="paragraph" w:styleId="a7">
    <w:name w:val="footer"/>
    <w:basedOn w:val="a"/>
    <w:link w:val="a8"/>
    <w:uiPriority w:val="99"/>
    <w:unhideWhenUsed/>
    <w:rsid w:val="008A4976"/>
    <w:pPr>
      <w:tabs>
        <w:tab w:val="center" w:pos="4153"/>
        <w:tab w:val="right" w:pos="8306"/>
      </w:tabs>
      <w:snapToGrid w:val="0"/>
      <w:jc w:val="left"/>
    </w:pPr>
    <w:rPr>
      <w:sz w:val="18"/>
      <w:szCs w:val="18"/>
    </w:rPr>
  </w:style>
  <w:style w:type="character" w:customStyle="1" w:styleId="a8">
    <w:name w:val="页脚 字符"/>
    <w:basedOn w:val="a0"/>
    <w:link w:val="a7"/>
    <w:uiPriority w:val="99"/>
    <w:rsid w:val="008A4976"/>
    <w:rPr>
      <w:sz w:val="18"/>
      <w:szCs w:val="18"/>
    </w:rPr>
  </w:style>
  <w:style w:type="character" w:customStyle="1" w:styleId="50">
    <w:name w:val="标题 5 字符"/>
    <w:basedOn w:val="a0"/>
    <w:link w:val="5"/>
    <w:uiPriority w:val="9"/>
    <w:rsid w:val="00223407"/>
    <w:rPr>
      <w:b/>
      <w:bCs/>
      <w:sz w:val="28"/>
      <w:szCs w:val="28"/>
    </w:rPr>
  </w:style>
  <w:style w:type="character" w:styleId="a9">
    <w:name w:val="Strong"/>
    <w:basedOn w:val="a0"/>
    <w:qFormat/>
    <w:rsid w:val="00E9063E"/>
    <w:rPr>
      <w:b/>
      <w:bCs/>
    </w:rPr>
  </w:style>
  <w:style w:type="paragraph" w:styleId="aa">
    <w:name w:val="footnote text"/>
    <w:basedOn w:val="a"/>
    <w:link w:val="ab"/>
    <w:uiPriority w:val="99"/>
    <w:unhideWhenUsed/>
    <w:rsid w:val="001308B0"/>
    <w:pPr>
      <w:snapToGrid w:val="0"/>
      <w:jc w:val="left"/>
    </w:pPr>
    <w:rPr>
      <w:sz w:val="18"/>
      <w:szCs w:val="18"/>
    </w:rPr>
  </w:style>
  <w:style w:type="character" w:customStyle="1" w:styleId="ab">
    <w:name w:val="脚注文本 字符"/>
    <w:basedOn w:val="a0"/>
    <w:link w:val="aa"/>
    <w:uiPriority w:val="99"/>
    <w:rsid w:val="001308B0"/>
    <w:rPr>
      <w:sz w:val="18"/>
      <w:szCs w:val="18"/>
    </w:rPr>
  </w:style>
  <w:style w:type="character" w:styleId="ac">
    <w:name w:val="footnote reference"/>
    <w:basedOn w:val="a0"/>
    <w:uiPriority w:val="99"/>
    <w:semiHidden/>
    <w:unhideWhenUsed/>
    <w:rsid w:val="001308B0"/>
    <w:rPr>
      <w:vertAlign w:val="superscript"/>
    </w:rPr>
  </w:style>
  <w:style w:type="character" w:customStyle="1" w:styleId="60">
    <w:name w:val="标题 6 字符"/>
    <w:basedOn w:val="a0"/>
    <w:link w:val="6"/>
    <w:uiPriority w:val="9"/>
    <w:rsid w:val="006F1D1C"/>
    <w:rPr>
      <w:rFonts w:asciiTheme="majorHAnsi" w:eastAsiaTheme="majorEastAsia" w:hAnsiTheme="majorHAnsi" w:cstheme="majorBidi"/>
      <w:b/>
      <w:bCs/>
      <w:sz w:val="24"/>
      <w:szCs w:val="24"/>
    </w:rPr>
  </w:style>
  <w:style w:type="character" w:customStyle="1" w:styleId="70">
    <w:name w:val="标题 7 字符"/>
    <w:basedOn w:val="a0"/>
    <w:link w:val="7"/>
    <w:uiPriority w:val="9"/>
    <w:rsid w:val="0054631F"/>
    <w:rPr>
      <w:b/>
      <w:bCs/>
      <w:sz w:val="24"/>
      <w:szCs w:val="24"/>
    </w:rPr>
  </w:style>
  <w:style w:type="character" w:customStyle="1" w:styleId="yanse">
    <w:name w:val="yanse"/>
    <w:basedOn w:val="a0"/>
    <w:rsid w:val="002D044F"/>
  </w:style>
  <w:style w:type="character" w:styleId="ad">
    <w:name w:val="Unresolved Mention"/>
    <w:basedOn w:val="a0"/>
    <w:uiPriority w:val="99"/>
    <w:semiHidden/>
    <w:unhideWhenUsed/>
    <w:rsid w:val="00824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22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26.html" TargetMode="External"/><Relationship Id="rId13" Type="http://schemas.openxmlformats.org/officeDocument/2006/relationships/hyperlink" Target="http://ssfb86.com/index/News/detail/newsid/5362.html" TargetMode="External"/><Relationship Id="rId18" Type="http://schemas.openxmlformats.org/officeDocument/2006/relationships/hyperlink" Target="http://ssfb86.com/index/News/detail/newsid/368.html" TargetMode="External"/><Relationship Id="rId26" Type="http://schemas.openxmlformats.org/officeDocument/2006/relationships/hyperlink" Target="http://ssfb86.com/index/News/detail/newsid/368.html" TargetMode="External"/><Relationship Id="rId3" Type="http://schemas.openxmlformats.org/officeDocument/2006/relationships/settings" Target="settings.xml"/><Relationship Id="rId21" Type="http://schemas.openxmlformats.org/officeDocument/2006/relationships/hyperlink" Target="http://ssfb86.com/index/News/detail/newsid/505.html" TargetMode="External"/><Relationship Id="rId34" Type="http://schemas.openxmlformats.org/officeDocument/2006/relationships/fontTable" Target="fontTable.xml"/><Relationship Id="rId7" Type="http://schemas.openxmlformats.org/officeDocument/2006/relationships/hyperlink" Target="http://ssfb86.com/index/News/detail/newsid/5362.html" TargetMode="External"/><Relationship Id="rId12" Type="http://schemas.openxmlformats.org/officeDocument/2006/relationships/hyperlink" Target="http://ssfb86.com/index/News/detail/newsid/1827.html" TargetMode="External"/><Relationship Id="rId17" Type="http://schemas.openxmlformats.org/officeDocument/2006/relationships/hyperlink" Target="http://ssfb86.com/index/News/detail/newsid/1021.html" TargetMode="External"/><Relationship Id="rId25" Type="http://schemas.openxmlformats.org/officeDocument/2006/relationships/hyperlink" Target="http://ssfb86.com/index/News/detail/newsid/368.htm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fb86.com/index/News/detail/newsid/5362.html" TargetMode="External"/><Relationship Id="rId20" Type="http://schemas.openxmlformats.org/officeDocument/2006/relationships/hyperlink" Target="http://ssfb86.com/index/News/detail/newsid/368.html" TargetMode="External"/><Relationship Id="rId29" Type="http://schemas.openxmlformats.org/officeDocument/2006/relationships/hyperlink" Target="http://ssfb86.com/index/News/detail/newsid/505.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fb86.com/index/News/detail/newsid/1827.html" TargetMode="External"/><Relationship Id="rId24" Type="http://schemas.openxmlformats.org/officeDocument/2006/relationships/hyperlink" Target="http://ssfb86.com/index/News/detail/newsid/368.html" TargetMode="External"/><Relationship Id="rId32" Type="http://schemas.openxmlformats.org/officeDocument/2006/relationships/hyperlink" Target="http://ssfb86.com/index/News/detail/newsid/1021.html" TargetMode="External"/><Relationship Id="rId5" Type="http://schemas.openxmlformats.org/officeDocument/2006/relationships/footnotes" Target="footnotes.xml"/><Relationship Id="rId15" Type="http://schemas.openxmlformats.org/officeDocument/2006/relationships/hyperlink" Target="http://ssfb86.com/index/News/detail/newsid/1827.html" TargetMode="External"/><Relationship Id="rId23" Type="http://schemas.openxmlformats.org/officeDocument/2006/relationships/hyperlink" Target="http://ssfb86.com/index/News/detail/newsid/368.html" TargetMode="External"/><Relationship Id="rId28" Type="http://schemas.openxmlformats.org/officeDocument/2006/relationships/hyperlink" Target="http://ssfb86.com/index/News/detail/newsid/368.html" TargetMode="External"/><Relationship Id="rId10" Type="http://schemas.openxmlformats.org/officeDocument/2006/relationships/hyperlink" Target="http://www.shui5.cn/article/81/23847.html" TargetMode="External"/><Relationship Id="rId19" Type="http://schemas.openxmlformats.org/officeDocument/2006/relationships/hyperlink" Target="http://ssfb86.com/index/News/detail/newsid/505.html" TargetMode="External"/><Relationship Id="rId31" Type="http://schemas.openxmlformats.org/officeDocument/2006/relationships/hyperlink" Target="http://ssfb86.com/index/News/detail/newsid/505.html" TargetMode="External"/><Relationship Id="rId4" Type="http://schemas.openxmlformats.org/officeDocument/2006/relationships/webSettings" Target="webSettings.xml"/><Relationship Id="rId9" Type="http://schemas.openxmlformats.org/officeDocument/2006/relationships/hyperlink" Target="http://www.shui5.cn/article/81/23847.html" TargetMode="External"/><Relationship Id="rId14" Type="http://schemas.openxmlformats.org/officeDocument/2006/relationships/hyperlink" Target="http://ssfb86.com/index/News/detail/newsid/1827.html" TargetMode="External"/><Relationship Id="rId22" Type="http://schemas.openxmlformats.org/officeDocument/2006/relationships/hyperlink" Target="http://ssfb86.com/index/News/detail/newsid/1021.html" TargetMode="External"/><Relationship Id="rId27" Type="http://schemas.openxmlformats.org/officeDocument/2006/relationships/hyperlink" Target="http://ssfb86.com/index/News/detail/newsid/368.html" TargetMode="External"/><Relationship Id="rId30" Type="http://schemas.openxmlformats.org/officeDocument/2006/relationships/hyperlink" Target="http://ssfb86.com/index/News/detail/newsid/368.html" TargetMode="Externa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EBA17-FA2E-4DB6-B21C-85EF906A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712</Words>
  <Characters>4065</Characters>
  <Application>Microsoft Office Word</Application>
  <DocSecurity>0</DocSecurity>
  <Lines>33</Lines>
  <Paragraphs>9</Paragraphs>
  <ScaleCrop>false</ScaleCrop>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6</cp:revision>
  <dcterms:created xsi:type="dcterms:W3CDTF">2020-07-02T12:58:00Z</dcterms:created>
  <dcterms:modified xsi:type="dcterms:W3CDTF">2020-09-30T12:16:00Z</dcterms:modified>
</cp:coreProperties>
</file>