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02D2D602" w:rsidR="008D5C7D" w:rsidRDefault="00CD0B97" w:rsidP="006813D8">
      <w:pPr>
        <w:pStyle w:val="a3"/>
        <w:shd w:val="clear" w:color="auto" w:fill="FFFFFF"/>
        <w:spacing w:beforeLines="50" w:before="156" w:line="480" w:lineRule="atLeast"/>
        <w:ind w:firstLine="482"/>
        <w:jc w:val="center"/>
        <w:rPr>
          <w:color w:val="000000" w:themeColor="text1"/>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3C5CF6">
        <w:rPr>
          <w:color w:val="000000" w:themeColor="text1"/>
          <w:sz w:val="44"/>
          <w:szCs w:val="44"/>
        </w:rPr>
        <w:t>8</w:t>
      </w:r>
      <w:r w:rsidR="008D5C7D" w:rsidRPr="007D7D01">
        <w:rPr>
          <w:color w:val="000000" w:themeColor="text1"/>
          <w:sz w:val="44"/>
          <w:szCs w:val="44"/>
        </w:rPr>
        <w:t xml:space="preserve">  </w:t>
      </w:r>
      <w:r w:rsidR="003C5CF6" w:rsidRPr="003C5CF6">
        <w:rPr>
          <w:rFonts w:hint="eastAsia"/>
          <w:color w:val="000000" w:themeColor="text1"/>
          <w:sz w:val="44"/>
          <w:szCs w:val="44"/>
        </w:rPr>
        <w:t>黄金期货交易增值税管理</w:t>
      </w:r>
    </w:p>
    <w:p w14:paraId="4438943B" w14:textId="7B0EE2BD" w:rsidR="00672DDC" w:rsidRDefault="00672DDC" w:rsidP="00672DDC">
      <w:pPr>
        <w:pStyle w:val="a3"/>
        <w:shd w:val="clear" w:color="auto" w:fill="FFFFFF"/>
        <w:spacing w:beforeLines="50" w:before="156" w:line="480" w:lineRule="atLeast"/>
        <w:ind w:firstLine="482"/>
        <w:rPr>
          <w:color w:val="000000" w:themeColor="text1"/>
        </w:rPr>
      </w:pPr>
    </w:p>
    <w:p w14:paraId="3A74A8B5" w14:textId="77777777" w:rsidR="003C5CF6" w:rsidRPr="003C5CF6" w:rsidRDefault="003C5CF6" w:rsidP="003C5CF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C5CF6">
        <w:rPr>
          <w:rFonts w:asciiTheme="minorEastAsia" w:eastAsiaTheme="minorEastAsia" w:hAnsiTheme="minorEastAsia" w:hint="eastAsia"/>
          <w:color w:val="000000" w:themeColor="text1"/>
        </w:rPr>
        <w:t>经国务院批准，自2008年1月1日起，上海期货交易黄金期货交易发生实物交割时，比照现行上海黄金交易所黄金交易的税收政策执行。现将有关政策明确如下：</w:t>
      </w:r>
    </w:p>
    <w:p w14:paraId="287906EA" w14:textId="77777777" w:rsidR="003C5CF6" w:rsidRPr="003C5CF6" w:rsidRDefault="003C5CF6" w:rsidP="003C5CF6">
      <w:pPr>
        <w:pStyle w:val="1"/>
        <w:spacing w:before="50" w:after="0" w:line="480" w:lineRule="atLeast"/>
        <w:rPr>
          <w:color w:val="000000" w:themeColor="text1"/>
          <w:sz w:val="24"/>
          <w:szCs w:val="24"/>
        </w:rPr>
      </w:pPr>
      <w:bookmarkStart w:id="0" w:name="_Toc12895287"/>
      <w:r w:rsidRPr="003C5CF6">
        <w:rPr>
          <w:rFonts w:hint="eastAsia"/>
          <w:color w:val="000000" w:themeColor="text1"/>
          <w:sz w:val="24"/>
          <w:szCs w:val="24"/>
        </w:rPr>
        <w:t>一、政策内容</w:t>
      </w:r>
      <w:bookmarkEnd w:id="0"/>
    </w:p>
    <w:p w14:paraId="460B0CB5" w14:textId="77777777" w:rsidR="003C5CF6" w:rsidRPr="003C5CF6" w:rsidRDefault="003C5CF6" w:rsidP="003C5CF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C5CF6">
        <w:rPr>
          <w:rFonts w:asciiTheme="minorEastAsia" w:eastAsiaTheme="minorEastAsia" w:hAnsiTheme="minorEastAsia" w:hint="eastAsia"/>
          <w:color w:val="000000" w:themeColor="text1"/>
        </w:rPr>
        <w:t>上海期货交易所会员和客户通过上海期货交易所销售标准黄金（持上海期货交易所开具的《黄金结算专用发票》），发生实物交割但未出库的，免征增值税；发生实物交割并已出库的，由税务机关按照实际交割价格代开增值税专用发票，并实行增值税即征即退的政策，同时免征城市维护建设税和教育费附加。增值税专用发票中的单价、金额和税额的计算公式分别如下：</w:t>
      </w:r>
    </w:p>
    <w:p w14:paraId="30F36375" w14:textId="77777777" w:rsidR="003C5CF6" w:rsidRPr="003C5CF6" w:rsidRDefault="003C5CF6" w:rsidP="003C5CF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C5CF6">
        <w:rPr>
          <w:rFonts w:asciiTheme="minorEastAsia" w:eastAsiaTheme="minorEastAsia" w:hAnsiTheme="minorEastAsia" w:hint="eastAsia"/>
          <w:color w:val="000000" w:themeColor="text1"/>
        </w:rPr>
        <w:t>单价=实际交割单价÷（1+增值税税率）</w:t>
      </w:r>
    </w:p>
    <w:p w14:paraId="043B41F8" w14:textId="77777777" w:rsidR="003C5CF6" w:rsidRPr="003C5CF6" w:rsidRDefault="003C5CF6" w:rsidP="003C5CF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C5CF6">
        <w:rPr>
          <w:rFonts w:asciiTheme="minorEastAsia" w:eastAsiaTheme="minorEastAsia" w:hAnsiTheme="minorEastAsia" w:hint="eastAsia"/>
          <w:color w:val="000000" w:themeColor="text1"/>
        </w:rPr>
        <w:t>金额=数量×单价</w:t>
      </w:r>
    </w:p>
    <w:p w14:paraId="705E7EFD" w14:textId="77777777" w:rsidR="003C5CF6" w:rsidRPr="003C5CF6" w:rsidRDefault="003C5CF6" w:rsidP="003C5CF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C5CF6">
        <w:rPr>
          <w:rFonts w:asciiTheme="minorEastAsia" w:eastAsiaTheme="minorEastAsia" w:hAnsiTheme="minorEastAsia" w:hint="eastAsia"/>
          <w:color w:val="000000" w:themeColor="text1"/>
        </w:rPr>
        <w:t>税额=金额×税率</w:t>
      </w:r>
    </w:p>
    <w:p w14:paraId="743A9D14" w14:textId="401368E8" w:rsidR="003C5CF6" w:rsidRPr="003C5CF6" w:rsidRDefault="003C5CF6" w:rsidP="003C5CF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C5CF6">
        <w:rPr>
          <w:rFonts w:asciiTheme="minorEastAsia" w:eastAsiaTheme="minorEastAsia" w:hAnsiTheme="minorEastAsia" w:hint="eastAsia"/>
          <w:color w:val="000000" w:themeColor="text1"/>
          <w:shd w:val="clear" w:color="auto" w:fill="FFFFFF"/>
        </w:rPr>
        <w:t>（</w:t>
      </w:r>
      <w:bookmarkStart w:id="1" w:name="_Hlk52636793"/>
      <w:r w:rsidR="00233792">
        <w:rPr>
          <w:rFonts w:asciiTheme="minorEastAsia" w:eastAsiaTheme="minorEastAsia" w:hAnsiTheme="minorEastAsia"/>
          <w:shd w:val="clear" w:color="auto" w:fill="FFFFFF"/>
        </w:rPr>
        <w:fldChar w:fldCharType="begin"/>
      </w:r>
      <w:r w:rsidR="00233792">
        <w:rPr>
          <w:rFonts w:asciiTheme="minorEastAsia" w:eastAsiaTheme="minorEastAsia" w:hAnsiTheme="minorEastAsia"/>
          <w:shd w:val="clear" w:color="auto" w:fill="FFFFFF"/>
        </w:rPr>
        <w:instrText xml:space="preserve"> HYPERLINK "http://ssfb86.com/index/News/detail/newsid/2505.html" </w:instrText>
      </w:r>
      <w:r w:rsidR="00233792">
        <w:rPr>
          <w:rFonts w:asciiTheme="minorEastAsia" w:eastAsiaTheme="minorEastAsia" w:hAnsiTheme="minorEastAsia"/>
          <w:shd w:val="clear" w:color="auto" w:fill="FFFFFF"/>
        </w:rPr>
      </w:r>
      <w:r w:rsidR="00233792">
        <w:rPr>
          <w:rFonts w:asciiTheme="minorEastAsia" w:eastAsiaTheme="minorEastAsia" w:hAnsiTheme="minorEastAsia"/>
          <w:shd w:val="clear" w:color="auto" w:fill="FFFFFF"/>
        </w:rPr>
        <w:fldChar w:fldCharType="separate"/>
      </w:r>
      <w:r w:rsidRPr="00233792">
        <w:rPr>
          <w:rStyle w:val="a4"/>
          <w:rFonts w:asciiTheme="minorEastAsia" w:eastAsiaTheme="minorEastAsia" w:hAnsiTheme="minorEastAsia" w:hint="eastAsia"/>
          <w:shd w:val="clear" w:color="auto" w:fill="FFFFFF"/>
        </w:rPr>
        <w:t>财税〔2008〕5号</w:t>
      </w:r>
      <w:r w:rsidR="00233792">
        <w:rPr>
          <w:rFonts w:asciiTheme="minorEastAsia" w:eastAsiaTheme="minorEastAsia" w:hAnsiTheme="minorEastAsia"/>
          <w:shd w:val="clear" w:color="auto" w:fill="FFFFFF"/>
        </w:rPr>
        <w:fldChar w:fldCharType="end"/>
      </w:r>
      <w:bookmarkEnd w:id="1"/>
      <w:r w:rsidRPr="003C5CF6">
        <w:rPr>
          <w:rFonts w:asciiTheme="minorEastAsia" w:eastAsiaTheme="minorEastAsia" w:hAnsiTheme="minorEastAsia" w:hint="eastAsia"/>
          <w:color w:val="000000" w:themeColor="text1"/>
          <w:shd w:val="clear" w:color="auto" w:fill="FFFFFF"/>
        </w:rPr>
        <w:t>第一条第一款）</w:t>
      </w:r>
    </w:p>
    <w:p w14:paraId="07A8FB22" w14:textId="77777777" w:rsidR="003C5CF6" w:rsidRPr="003C5CF6" w:rsidRDefault="003C5CF6" w:rsidP="003C5CF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C5CF6">
        <w:rPr>
          <w:rFonts w:asciiTheme="minorEastAsia" w:eastAsiaTheme="minorEastAsia" w:hAnsiTheme="minorEastAsia" w:hint="eastAsia"/>
          <w:color w:val="000000" w:themeColor="text1"/>
        </w:rPr>
        <w:t>实际交割单价是指不含上海期货交易所收取的手续费的单位价格。</w:t>
      </w:r>
    </w:p>
    <w:p w14:paraId="78B70C5B" w14:textId="0838B191" w:rsidR="003C5CF6" w:rsidRPr="003C5CF6" w:rsidRDefault="003C5CF6" w:rsidP="003C5CF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C5CF6">
        <w:rPr>
          <w:rFonts w:asciiTheme="minorEastAsia" w:eastAsiaTheme="minorEastAsia" w:hAnsiTheme="minorEastAsia" w:hint="eastAsia"/>
          <w:color w:val="000000" w:themeColor="text1"/>
          <w:shd w:val="clear" w:color="auto" w:fill="FFFFFF"/>
        </w:rPr>
        <w:t>（</w:t>
      </w:r>
      <w:hyperlink r:id="rId7" w:history="1">
        <w:r w:rsidR="00233792" w:rsidRPr="00233792">
          <w:rPr>
            <w:rStyle w:val="a4"/>
            <w:rFonts w:asciiTheme="minorEastAsia" w:eastAsiaTheme="minorEastAsia" w:hAnsiTheme="minorEastAsia" w:hint="eastAsia"/>
            <w:shd w:val="clear" w:color="auto" w:fill="FFFFFF"/>
          </w:rPr>
          <w:t>财税〔2008〕5号</w:t>
        </w:r>
      </w:hyperlink>
      <w:r w:rsidRPr="003C5CF6">
        <w:rPr>
          <w:rFonts w:asciiTheme="minorEastAsia" w:eastAsiaTheme="minorEastAsia" w:hAnsiTheme="minorEastAsia" w:hint="eastAsia"/>
          <w:color w:val="000000" w:themeColor="text1"/>
          <w:shd w:val="clear" w:color="auto" w:fill="FFFFFF"/>
        </w:rPr>
        <w:t>第一条第二款）</w:t>
      </w:r>
    </w:p>
    <w:p w14:paraId="21620A6D"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上海期货交易所应对黄金期货交割并提货环节的增值税税款实行单独核算，并享受增值税即征即退政策，同时免征城市维护建设税、教育费附加。</w:t>
      </w:r>
    </w:p>
    <w:p w14:paraId="4936CBBE" w14:textId="44CB67AC"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bookmarkStart w:id="2" w:name="_Hlk52636871"/>
      <w:r w:rsidR="00233792">
        <w:rPr>
          <w:rFonts w:asciiTheme="minorEastAsia" w:hAnsiTheme="minorEastAsia"/>
          <w:sz w:val="24"/>
          <w:szCs w:val="24"/>
          <w:shd w:val="clear" w:color="auto" w:fill="FFFFFF"/>
        </w:rPr>
        <w:fldChar w:fldCharType="begin"/>
      </w:r>
      <w:r w:rsidR="00233792">
        <w:rPr>
          <w:rFonts w:asciiTheme="minorEastAsia" w:hAnsiTheme="minorEastAsia"/>
          <w:sz w:val="24"/>
          <w:szCs w:val="24"/>
          <w:shd w:val="clear" w:color="auto" w:fill="FFFFFF"/>
        </w:rPr>
        <w:instrText xml:space="preserve"> HYPERLINK "http://ssfb86.com/index/News/detail/newsid/2444.html" </w:instrText>
      </w:r>
      <w:r w:rsidR="00233792">
        <w:rPr>
          <w:rFonts w:asciiTheme="minorEastAsia" w:hAnsiTheme="minorEastAsia"/>
          <w:sz w:val="24"/>
          <w:szCs w:val="24"/>
          <w:shd w:val="clear" w:color="auto" w:fill="FFFFFF"/>
        </w:rPr>
      </w:r>
      <w:r w:rsidR="00233792">
        <w:rPr>
          <w:rFonts w:asciiTheme="minorEastAsia" w:hAnsiTheme="minorEastAsia"/>
          <w:sz w:val="24"/>
          <w:szCs w:val="24"/>
          <w:shd w:val="clear" w:color="auto" w:fill="FFFFFF"/>
        </w:rPr>
        <w:fldChar w:fldCharType="separate"/>
      </w:r>
      <w:r w:rsidRPr="00233792">
        <w:rPr>
          <w:rStyle w:val="a4"/>
          <w:rFonts w:asciiTheme="minorEastAsia" w:hAnsiTheme="minorEastAsia" w:hint="eastAsia"/>
          <w:sz w:val="24"/>
          <w:szCs w:val="24"/>
          <w:shd w:val="clear" w:color="auto" w:fill="FFFFFF"/>
        </w:rPr>
        <w:t>国税发〔2008〕46号</w:t>
      </w:r>
      <w:r w:rsidR="00233792">
        <w:rPr>
          <w:rFonts w:asciiTheme="minorEastAsia" w:hAnsiTheme="minorEastAsia"/>
          <w:sz w:val="24"/>
          <w:szCs w:val="24"/>
          <w:shd w:val="clear" w:color="auto" w:fill="FFFFFF"/>
        </w:rPr>
        <w:fldChar w:fldCharType="end"/>
      </w:r>
      <w:bookmarkEnd w:id="2"/>
      <w:r w:rsidRPr="003C5CF6">
        <w:rPr>
          <w:rFonts w:asciiTheme="minorEastAsia" w:hAnsiTheme="minorEastAsia" w:hint="eastAsia"/>
          <w:color w:val="000000" w:themeColor="text1"/>
          <w:sz w:val="24"/>
          <w:szCs w:val="24"/>
          <w:shd w:val="clear" w:color="auto" w:fill="FFFFFF"/>
        </w:rPr>
        <w:t>第三条第三款）</w:t>
      </w:r>
    </w:p>
    <w:p w14:paraId="56331130" w14:textId="77777777" w:rsidR="003C5CF6" w:rsidRPr="003C5CF6" w:rsidRDefault="003C5CF6" w:rsidP="003C5CF6">
      <w:pPr>
        <w:pStyle w:val="1"/>
        <w:spacing w:before="50" w:after="0" w:line="480" w:lineRule="atLeast"/>
        <w:rPr>
          <w:color w:val="000000" w:themeColor="text1"/>
          <w:sz w:val="24"/>
          <w:szCs w:val="24"/>
        </w:rPr>
      </w:pPr>
      <w:bookmarkStart w:id="3" w:name="_Toc12895288"/>
      <w:r w:rsidRPr="003C5CF6">
        <w:rPr>
          <w:rFonts w:hint="eastAsia"/>
          <w:color w:val="000000" w:themeColor="text1"/>
          <w:sz w:val="24"/>
          <w:szCs w:val="24"/>
        </w:rPr>
        <w:t>二、适用范围</w:t>
      </w:r>
      <w:bookmarkEnd w:id="3"/>
    </w:p>
    <w:p w14:paraId="00273E20"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本办法所规定的"黄金"是指标准黄金，即成色与规格同时符合以下标准的金锭、金条及金块等黄金原料：</w:t>
      </w:r>
    </w:p>
    <w:p w14:paraId="7C870360"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lastRenderedPageBreak/>
        <w:t>成色：AU9999，AU9995，AU999，AU995.</w:t>
      </w:r>
    </w:p>
    <w:p w14:paraId="62996B17"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规格：50克，100克，1公斤，3公斤，12.5公斤。</w:t>
      </w:r>
    </w:p>
    <w:p w14:paraId="32AE4B44" w14:textId="3AF875B0"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8"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第二条第一款）</w:t>
      </w:r>
    </w:p>
    <w:p w14:paraId="638A377C"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非标准黄金，即成色与规格不同时符合以上标准的黄金原料，不适用本办法。</w:t>
      </w:r>
    </w:p>
    <w:p w14:paraId="487F6A56" w14:textId="619C64CE"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9"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第二条第二款）</w:t>
      </w:r>
    </w:p>
    <w:p w14:paraId="5B1F3A5C" w14:textId="77777777" w:rsidR="003C5CF6" w:rsidRPr="003C5CF6" w:rsidRDefault="003C5CF6" w:rsidP="003C5CF6">
      <w:pPr>
        <w:pStyle w:val="1"/>
        <w:spacing w:before="50" w:after="0" w:line="480" w:lineRule="atLeast"/>
        <w:rPr>
          <w:color w:val="000000" w:themeColor="text1"/>
          <w:sz w:val="24"/>
          <w:szCs w:val="24"/>
        </w:rPr>
      </w:pPr>
      <w:bookmarkStart w:id="4" w:name="_Toc12895289"/>
      <w:r w:rsidRPr="003C5CF6">
        <w:rPr>
          <w:rFonts w:hint="eastAsia"/>
          <w:color w:val="000000" w:themeColor="text1"/>
          <w:sz w:val="24"/>
          <w:szCs w:val="24"/>
        </w:rPr>
        <w:t>三、发票领用</w:t>
      </w:r>
      <w:bookmarkEnd w:id="4"/>
    </w:p>
    <w:p w14:paraId="580EC272"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上海期货交易所黄金期货交易增值税的征收管理按以下规定执行：</w:t>
      </w:r>
    </w:p>
    <w:p w14:paraId="49468640" w14:textId="77777777" w:rsidR="003C5CF6" w:rsidRPr="003C5CF6" w:rsidRDefault="003C5CF6" w:rsidP="003C5CF6">
      <w:pPr>
        <w:pStyle w:val="2"/>
        <w:spacing w:before="50" w:after="0" w:line="480" w:lineRule="atLeast"/>
        <w:rPr>
          <w:color w:val="000000" w:themeColor="text1"/>
          <w:sz w:val="24"/>
          <w:szCs w:val="24"/>
        </w:rPr>
      </w:pPr>
      <w:bookmarkStart w:id="5" w:name="_Toc12895290"/>
      <w:r w:rsidRPr="003C5CF6">
        <w:rPr>
          <w:rFonts w:hint="eastAsia"/>
          <w:color w:val="000000" w:themeColor="text1"/>
          <w:sz w:val="24"/>
          <w:szCs w:val="24"/>
        </w:rPr>
        <w:t>（一）申请印制《黄金结算专用发票》</w:t>
      </w:r>
      <w:bookmarkEnd w:id="5"/>
    </w:p>
    <w:p w14:paraId="3199223D"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上海期货交易所应向主管税务机关申请印制《黄金结算专用发票》（一式三联，分为结算联、发票联和存根联）。</w:t>
      </w:r>
    </w:p>
    <w:p w14:paraId="5AC34198" w14:textId="6F370292"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10"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第三条第一款）</w:t>
      </w:r>
    </w:p>
    <w:p w14:paraId="0FB85058" w14:textId="77777777" w:rsidR="003C5CF6" w:rsidRPr="003C5CF6" w:rsidRDefault="003C5CF6" w:rsidP="003C5CF6">
      <w:pPr>
        <w:pStyle w:val="2"/>
        <w:spacing w:before="50" w:after="0" w:line="480" w:lineRule="atLeast"/>
        <w:rPr>
          <w:color w:val="000000" w:themeColor="text1"/>
          <w:sz w:val="24"/>
          <w:szCs w:val="24"/>
        </w:rPr>
      </w:pPr>
      <w:bookmarkStart w:id="6" w:name="_Toc12895291"/>
      <w:r w:rsidRPr="003C5CF6">
        <w:rPr>
          <w:rFonts w:hint="eastAsia"/>
          <w:color w:val="000000" w:themeColor="text1"/>
          <w:sz w:val="24"/>
          <w:szCs w:val="24"/>
        </w:rPr>
        <w:t>（二）发票使用</w:t>
      </w:r>
      <w:bookmarkEnd w:id="6"/>
    </w:p>
    <w:p w14:paraId="2CEEF791"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上海期货交易所会员和客户，通过上海期货交易所进行黄金期货交易并发生实物交割的，按照以下规定办理：</w:t>
      </w:r>
    </w:p>
    <w:p w14:paraId="669C46F9" w14:textId="11E5AAA5"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11"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第三条第二款）</w:t>
      </w:r>
    </w:p>
    <w:p w14:paraId="145B9B5F"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1.卖方会员或客户按交割结算价向上海期货交易所开具普通发票，对其免征增值税。上海期货交易所按交割结算价向卖方提供《黄金结算专用发票》结算联，发票联、存根联由交易所留存。</w:t>
      </w:r>
    </w:p>
    <w:p w14:paraId="196447FB" w14:textId="60369D27"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12"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第三条第二款第一项）</w:t>
      </w:r>
    </w:p>
    <w:p w14:paraId="372A3210"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2.买方会员或客户未提取黄金出库的，由上海期货交易所按交割结算价开具《黄金结算专用发票》并提供发票联，存根联、结算联由上海期货交易所留存。</w:t>
      </w:r>
    </w:p>
    <w:p w14:paraId="68CF6D65" w14:textId="2F597ECA"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13"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第三条第二款第二项）</w:t>
      </w:r>
    </w:p>
    <w:p w14:paraId="78A4B6DF"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lastRenderedPageBreak/>
        <w:t>3.买方会员或客户提取黄金出库的，应向上海期货交易所主管税务机关出具期货交易交割结算单、标准仓单出库确认单、溢短结算单，由税务机关按实际交割价和提货数量，代上海期货交易所向具有增值税一般纳税人资格的买方会员或客户（提货方）开具增值税专用发票（抵扣联），增值税专用发票的发票联和记账联由上海期货交易所留存，抵扣联传递给提货方会员或客户。</w:t>
      </w:r>
    </w:p>
    <w:p w14:paraId="62087A87" w14:textId="027F4978"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10815277"/>
      <w:r w:rsidRPr="003C5CF6">
        <w:rPr>
          <w:rFonts w:asciiTheme="minorEastAsia" w:hAnsiTheme="minorEastAsia" w:hint="eastAsia"/>
          <w:color w:val="000000" w:themeColor="text1"/>
          <w:sz w:val="24"/>
          <w:szCs w:val="24"/>
          <w:shd w:val="clear" w:color="auto" w:fill="FFFFFF"/>
        </w:rPr>
        <w:t>（</w:t>
      </w:r>
      <w:hyperlink r:id="rId14"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第三条第二款第三项第一目）</w:t>
      </w:r>
    </w:p>
    <w:bookmarkEnd w:id="7"/>
    <w:p w14:paraId="7A516E12"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买方会员或客户（提货方）不属于增值税一般纳税人的， 不得向其开具增值税专用发票。</w:t>
      </w:r>
    </w:p>
    <w:p w14:paraId="20F8B15C" w14:textId="6885EDE7"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15"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第三条第二款第三项第二目）</w:t>
      </w:r>
    </w:p>
    <w:p w14:paraId="7FB8E3F8" w14:textId="77777777" w:rsidR="003C5CF6" w:rsidRPr="003C5CF6" w:rsidRDefault="003C5CF6" w:rsidP="003C5CF6">
      <w:pPr>
        <w:pStyle w:val="1"/>
        <w:spacing w:before="50" w:after="0" w:line="480" w:lineRule="atLeast"/>
        <w:rPr>
          <w:color w:val="000000" w:themeColor="text1"/>
          <w:sz w:val="24"/>
          <w:szCs w:val="24"/>
        </w:rPr>
      </w:pPr>
      <w:bookmarkStart w:id="8" w:name="_Toc12895292"/>
      <w:r w:rsidRPr="003C5CF6">
        <w:rPr>
          <w:rFonts w:hint="eastAsia"/>
          <w:color w:val="000000" w:themeColor="text1"/>
          <w:sz w:val="24"/>
          <w:szCs w:val="24"/>
        </w:rPr>
        <w:t>四、进项税额核算</w:t>
      </w:r>
      <w:bookmarkEnd w:id="8"/>
    </w:p>
    <w:p w14:paraId="730EA138"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会员和客户按以下规定核算增值税进项税额：</w:t>
      </w:r>
    </w:p>
    <w:p w14:paraId="134BD290" w14:textId="4D00FF54"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16"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第四条）</w:t>
      </w:r>
    </w:p>
    <w:p w14:paraId="5ED9A378"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一）上海期货交易所会员或客户（中国人民银行除外）应对在上海期货交易所或黄金交易所办理黄金实物交割提取出库时取得的进项税额实行单独核算，按取得的税务机关代开的增值税专用发票上注明的增值税税额（包括相对应的买入量）单独记账。</w:t>
      </w:r>
    </w:p>
    <w:p w14:paraId="5E612588" w14:textId="3E5CD4BF"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9" w:name="_Hlk10815335"/>
      <w:r w:rsidRPr="003C5CF6">
        <w:rPr>
          <w:rFonts w:asciiTheme="minorEastAsia" w:hAnsiTheme="minorEastAsia" w:hint="eastAsia"/>
          <w:color w:val="000000" w:themeColor="text1"/>
          <w:sz w:val="24"/>
          <w:szCs w:val="24"/>
          <w:shd w:val="clear" w:color="auto" w:fill="FFFFFF"/>
        </w:rPr>
        <w:t>（</w:t>
      </w:r>
      <w:hyperlink r:id="rId17"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第四条第一款第一项）</w:t>
      </w:r>
    </w:p>
    <w:bookmarkEnd w:id="9"/>
    <w:p w14:paraId="4FE9C4AC"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对会员或客户从上海期货交易所或黄金交易所购入黄金（指提货出库后）再通过上海期货交易所卖出的，应计算通过上海期货交易所卖出黄金进项税额的转出额，并从当期进项税额中转出，同时计入成本；对当期账面进项税额小于通过下列公式计算出的应转出的进项税额，其差额部分应当立即补征入库。</w:t>
      </w:r>
    </w:p>
    <w:p w14:paraId="562AD466"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应转出的进项税额＝单位进项税额×当期黄金卖出量。</w:t>
      </w:r>
    </w:p>
    <w:p w14:paraId="442325B2"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单位进项税额＝购入黄金的累计进项税额÷累计黄金购入额</w:t>
      </w:r>
    </w:p>
    <w:p w14:paraId="1369F2EF" w14:textId="5B6D78DD"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18"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第四条第一款第二项）</w:t>
      </w:r>
    </w:p>
    <w:p w14:paraId="6299896C"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lastRenderedPageBreak/>
        <w:t>（二）对上海期货交易所会员或客户（中国人民银行除外）通过上海期货交易所销售企业原有库存黄金，应按实际成交价格计算相应进项税额的转出额，并从当期进项税额中转出，计入成本。</w:t>
      </w:r>
    </w:p>
    <w:p w14:paraId="3739E2D4"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应转出的进项税额＝销售库存黄金实际成交价格÷（1＋增值税税率）×增值税税率。</w:t>
      </w:r>
    </w:p>
    <w:p w14:paraId="42BFBCC0" w14:textId="7D892315"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19"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第四条第二款）</w:t>
      </w:r>
    </w:p>
    <w:p w14:paraId="50B8F481"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5CF6">
        <w:rPr>
          <w:rFonts w:asciiTheme="minorEastAsia" w:hAnsiTheme="minorEastAsia" w:cs="宋体" w:hint="eastAsia"/>
          <w:color w:val="000000" w:themeColor="text1"/>
          <w:kern w:val="0"/>
          <w:sz w:val="24"/>
          <w:szCs w:val="24"/>
        </w:rPr>
        <w:t>（三）买方会员或客户（提货方）取得增值税专用发票抵扣联后，应按发票上注明的税额从黄金材料成本科目中转入"应缴税金——进项税额"科目，核算进项税额。</w:t>
      </w:r>
    </w:p>
    <w:p w14:paraId="6288E223" w14:textId="7FC88C94"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20"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第四条第三款）</w:t>
      </w:r>
    </w:p>
    <w:p w14:paraId="38583A6C" w14:textId="77777777" w:rsidR="003C5CF6" w:rsidRPr="003C5CF6" w:rsidRDefault="003C5CF6" w:rsidP="003C5CF6">
      <w:pPr>
        <w:pStyle w:val="1"/>
        <w:spacing w:before="50" w:after="0" w:line="480" w:lineRule="atLeast"/>
        <w:rPr>
          <w:color w:val="000000" w:themeColor="text1"/>
          <w:sz w:val="24"/>
          <w:szCs w:val="24"/>
        </w:rPr>
      </w:pPr>
      <w:bookmarkStart w:id="10" w:name="_Toc12895293"/>
      <w:r w:rsidRPr="003C5CF6">
        <w:rPr>
          <w:rStyle w:val="a9"/>
          <w:rFonts w:asciiTheme="minorEastAsia" w:hAnsiTheme="minorEastAsia" w:hint="eastAsia"/>
          <w:color w:val="000000" w:themeColor="text1"/>
          <w:sz w:val="24"/>
          <w:szCs w:val="24"/>
        </w:rPr>
        <w:t>五、</w:t>
      </w:r>
      <w:r w:rsidRPr="003C5CF6">
        <w:rPr>
          <w:rFonts w:hint="eastAsia"/>
          <w:color w:val="000000" w:themeColor="text1"/>
          <w:sz w:val="24"/>
          <w:szCs w:val="24"/>
        </w:rPr>
        <w:t>增值税专用发票的单价和金额、税额按以下规定确定：</w:t>
      </w:r>
      <w:bookmarkEnd w:id="10"/>
    </w:p>
    <w:p w14:paraId="2BC615AE"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上海期货交易所买方会员或客户（提货方）提货出库时，主管税务机关代开增值税专用发票上注明的单价，应由实际交割货款和提货数量确定，但不包括手续费、仓储费等其他费用。其中，实际交割货款由交割货款和溢短结算货款组成，交割货款按后进先出法原则确定。具体计算公式如下：</w:t>
      </w:r>
    </w:p>
    <w:p w14:paraId="693A82E2"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税额=金额×增值税税率</w:t>
      </w:r>
    </w:p>
    <w:p w14:paraId="04BC0DAB"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金额=数量×单价</w:t>
      </w:r>
    </w:p>
    <w:p w14:paraId="3D650C5F"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单价=实际交割价÷（1+增值税税率）</w:t>
      </w:r>
    </w:p>
    <w:p w14:paraId="68987BA4"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实际交割价=实际交割货款÷提货数量</w:t>
      </w:r>
    </w:p>
    <w:p w14:paraId="3CCC2855"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实际交割货款=交割货款+溢短结算货款</w:t>
      </w:r>
    </w:p>
    <w:p w14:paraId="7F3411FA"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交割货款=标准仓单张数×每张仓单标准数量×交割结算价</w:t>
      </w:r>
    </w:p>
    <w:p w14:paraId="0BA2A081"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溢短结算货款=溢短×溢短结算日前一交易日上海期货交易所挂牌交易的最近月份黄金期货合约的结算价</w:t>
      </w:r>
    </w:p>
    <w:p w14:paraId="78F431ED"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其中，单价小数点后至少保留6位。</w:t>
      </w:r>
    </w:p>
    <w:p w14:paraId="4B2C52B9" w14:textId="4C07226C"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lastRenderedPageBreak/>
        <w:t>（</w:t>
      </w:r>
      <w:hyperlink r:id="rId21"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第五条）</w:t>
      </w:r>
    </w:p>
    <w:p w14:paraId="7E6E6655" w14:textId="77777777" w:rsidR="003C5CF6" w:rsidRPr="003C5CF6" w:rsidRDefault="003C5CF6" w:rsidP="003C5CF6">
      <w:pPr>
        <w:pStyle w:val="1"/>
        <w:spacing w:before="50" w:after="0" w:line="480" w:lineRule="atLeast"/>
        <w:rPr>
          <w:rStyle w:val="a9"/>
          <w:b/>
          <w:bCs/>
          <w:color w:val="000000" w:themeColor="text1"/>
          <w:sz w:val="24"/>
          <w:szCs w:val="24"/>
        </w:rPr>
      </w:pPr>
      <w:bookmarkStart w:id="11" w:name="_Toc12895294"/>
      <w:r w:rsidRPr="003C5CF6">
        <w:rPr>
          <w:rStyle w:val="a9"/>
          <w:rFonts w:hint="eastAsia"/>
          <w:b/>
          <w:bCs/>
          <w:color w:val="000000" w:themeColor="text1"/>
          <w:sz w:val="24"/>
          <w:szCs w:val="24"/>
        </w:rPr>
        <w:t>六、会计核算</w:t>
      </w:r>
      <w:bookmarkEnd w:id="11"/>
    </w:p>
    <w:p w14:paraId="6C58D6FE"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会员和客户应将上海期货交易所开具的《黄金结算专用发票》（发票联）作为会计记账凭证进行财务核算；买方会员和客户（提货方）取得税务部门代开的增值税专用发票（抵扣联），仅作为核算进项税额的凭证。</w:t>
      </w:r>
    </w:p>
    <w:p w14:paraId="273CC1E4" w14:textId="712CE4D0"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22"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第六条）</w:t>
      </w:r>
    </w:p>
    <w:p w14:paraId="60E705CB" w14:textId="2257F404"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上海期货交易所会员应分别核算自营黄金期货交易、代理客户黄金期货交易与黄金实物交割业务的销售额以及增值税销项税额、进项税额、应纳税额。</w:t>
      </w:r>
    </w:p>
    <w:p w14:paraId="19D61EE8" w14:textId="14B4346E"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23"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第八条）</w:t>
      </w:r>
    </w:p>
    <w:p w14:paraId="466C5BCF" w14:textId="77777777" w:rsidR="003C5CF6" w:rsidRPr="003C5CF6" w:rsidRDefault="003C5CF6" w:rsidP="003C5CF6">
      <w:pPr>
        <w:pStyle w:val="1"/>
        <w:spacing w:before="50" w:after="0" w:line="480" w:lineRule="atLeast"/>
        <w:rPr>
          <w:color w:val="000000" w:themeColor="text1"/>
          <w:sz w:val="24"/>
          <w:szCs w:val="24"/>
        </w:rPr>
      </w:pPr>
      <w:bookmarkStart w:id="12" w:name="_Toc12895295"/>
      <w:r w:rsidRPr="003C5CF6">
        <w:rPr>
          <w:rFonts w:hint="eastAsia"/>
          <w:color w:val="000000" w:themeColor="text1"/>
          <w:sz w:val="24"/>
          <w:szCs w:val="24"/>
        </w:rPr>
        <w:t>七、免税办理</w:t>
      </w:r>
      <w:bookmarkEnd w:id="12"/>
    </w:p>
    <w:p w14:paraId="460AF083" w14:textId="77777777" w:rsidR="003C5CF6" w:rsidRPr="003C5CF6" w:rsidRDefault="003C5CF6" w:rsidP="003C5CF6">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C5CF6">
        <w:rPr>
          <w:rFonts w:asciiTheme="minorEastAsia" w:hAnsiTheme="minorEastAsia" w:hint="eastAsia"/>
          <w:color w:val="000000" w:themeColor="text1"/>
          <w:sz w:val="24"/>
          <w:szCs w:val="24"/>
        </w:rPr>
        <w:t>卖方会员或客户应凭上海期货交易所开具的《黄金结算专用发票》（结算联），向卖方会员或客户主管税务机关办理免税手续。</w:t>
      </w:r>
    </w:p>
    <w:p w14:paraId="2CB9A30A" w14:textId="61D1BE83"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24"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第七条）</w:t>
      </w:r>
    </w:p>
    <w:p w14:paraId="68B07B1D" w14:textId="77777777" w:rsidR="003C5CF6" w:rsidRPr="003C5CF6" w:rsidRDefault="003C5CF6" w:rsidP="003C5CF6">
      <w:pPr>
        <w:pStyle w:val="1"/>
        <w:spacing w:before="50" w:after="0" w:line="480" w:lineRule="atLeast"/>
        <w:rPr>
          <w:color w:val="000000" w:themeColor="text1"/>
          <w:sz w:val="24"/>
          <w:szCs w:val="24"/>
        </w:rPr>
      </w:pPr>
      <w:bookmarkStart w:id="13" w:name="_Toc12895296"/>
      <w:r w:rsidRPr="003C5CF6">
        <w:rPr>
          <w:rFonts w:hint="eastAsia"/>
          <w:color w:val="000000" w:themeColor="text1"/>
          <w:sz w:val="24"/>
          <w:szCs w:val="24"/>
        </w:rPr>
        <w:t>八、主要概念</w:t>
      </w:r>
      <w:bookmarkEnd w:id="13"/>
    </w:p>
    <w:p w14:paraId="5570087C" w14:textId="77777777" w:rsidR="003C5CF6" w:rsidRPr="003C5CF6" w:rsidRDefault="003C5CF6" w:rsidP="003C5CF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C5CF6">
        <w:rPr>
          <w:rFonts w:asciiTheme="minorEastAsia" w:eastAsiaTheme="minorEastAsia" w:hAnsiTheme="minorEastAsia" w:hint="eastAsia"/>
          <w:color w:val="000000" w:themeColor="text1"/>
        </w:rPr>
        <w:t>本办法所规定的"提取黄金出库"，指期货交易所会员或客户从指定的金库中提取在期货交易所已交割的黄金的行为。</w:t>
      </w:r>
    </w:p>
    <w:p w14:paraId="46026E0A" w14:textId="40F9F3A2" w:rsidR="003C5CF6" w:rsidRPr="003C5CF6" w:rsidRDefault="003C5CF6" w:rsidP="003C5CF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C5CF6">
        <w:rPr>
          <w:rFonts w:asciiTheme="minorEastAsia" w:hAnsiTheme="minorEastAsia" w:hint="eastAsia"/>
          <w:color w:val="000000" w:themeColor="text1"/>
          <w:sz w:val="24"/>
          <w:szCs w:val="24"/>
          <w:shd w:val="clear" w:color="auto" w:fill="FFFFFF"/>
        </w:rPr>
        <w:t>（</w:t>
      </w:r>
      <w:hyperlink r:id="rId25" w:history="1">
        <w:r w:rsidR="00233792" w:rsidRPr="00233792">
          <w:rPr>
            <w:rStyle w:val="a4"/>
            <w:rFonts w:asciiTheme="minorEastAsia" w:hAnsiTheme="minorEastAsia" w:hint="eastAsia"/>
            <w:sz w:val="24"/>
            <w:szCs w:val="24"/>
            <w:shd w:val="clear" w:color="auto" w:fill="FFFFFF"/>
          </w:rPr>
          <w:t>国税发〔2008〕46号</w:t>
        </w:r>
      </w:hyperlink>
      <w:r w:rsidRPr="003C5CF6">
        <w:rPr>
          <w:rFonts w:asciiTheme="minorEastAsia" w:hAnsiTheme="minorEastAsia" w:hint="eastAsia"/>
          <w:color w:val="000000" w:themeColor="text1"/>
          <w:sz w:val="24"/>
          <w:szCs w:val="24"/>
          <w:shd w:val="clear" w:color="auto" w:fill="FFFFFF"/>
        </w:rPr>
        <w:t>第九条）</w:t>
      </w:r>
    </w:p>
    <w:p w14:paraId="15C8F253" w14:textId="77777777" w:rsidR="003C5CF6" w:rsidRPr="003C5CF6" w:rsidRDefault="003C5CF6" w:rsidP="00672DDC">
      <w:pPr>
        <w:pStyle w:val="a3"/>
        <w:shd w:val="clear" w:color="auto" w:fill="FFFFFF"/>
        <w:spacing w:beforeLines="50" w:before="156" w:line="480" w:lineRule="atLeast"/>
        <w:ind w:firstLine="482"/>
        <w:rPr>
          <w:color w:val="000000" w:themeColor="text1"/>
        </w:rPr>
      </w:pPr>
    </w:p>
    <w:sectPr w:rsidR="003C5CF6" w:rsidRPr="003C5CF6">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37457" w14:textId="77777777" w:rsidR="00346D9D" w:rsidRDefault="00346D9D" w:rsidP="008A4976">
      <w:r>
        <w:separator/>
      </w:r>
    </w:p>
  </w:endnote>
  <w:endnote w:type="continuationSeparator" w:id="0">
    <w:p w14:paraId="29528BF4" w14:textId="77777777" w:rsidR="00346D9D" w:rsidRDefault="00346D9D"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90CEB" w14:textId="77777777" w:rsidR="00346D9D" w:rsidRDefault="00346D9D" w:rsidP="008A4976">
      <w:r>
        <w:separator/>
      </w:r>
    </w:p>
  </w:footnote>
  <w:footnote w:type="continuationSeparator" w:id="0">
    <w:p w14:paraId="03BFB001" w14:textId="77777777" w:rsidR="00346D9D" w:rsidRDefault="00346D9D"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B36DC"/>
    <w:rsid w:val="000B70ED"/>
    <w:rsid w:val="000E0142"/>
    <w:rsid w:val="00117105"/>
    <w:rsid w:val="00124157"/>
    <w:rsid w:val="00156542"/>
    <w:rsid w:val="00180AA2"/>
    <w:rsid w:val="001F0B3D"/>
    <w:rsid w:val="00217C7A"/>
    <w:rsid w:val="00223407"/>
    <w:rsid w:val="00233792"/>
    <w:rsid w:val="002E7F9B"/>
    <w:rsid w:val="00324860"/>
    <w:rsid w:val="00346D9D"/>
    <w:rsid w:val="003A1160"/>
    <w:rsid w:val="003C5CF6"/>
    <w:rsid w:val="00417B40"/>
    <w:rsid w:val="0046344C"/>
    <w:rsid w:val="004A3700"/>
    <w:rsid w:val="004B37E5"/>
    <w:rsid w:val="004B74E4"/>
    <w:rsid w:val="004C0F85"/>
    <w:rsid w:val="00540CBE"/>
    <w:rsid w:val="005463D2"/>
    <w:rsid w:val="00586D71"/>
    <w:rsid w:val="005E1334"/>
    <w:rsid w:val="00605259"/>
    <w:rsid w:val="0061698A"/>
    <w:rsid w:val="00672DDC"/>
    <w:rsid w:val="006813D8"/>
    <w:rsid w:val="006853B2"/>
    <w:rsid w:val="006942D5"/>
    <w:rsid w:val="00706A2B"/>
    <w:rsid w:val="007D7D01"/>
    <w:rsid w:val="0080484F"/>
    <w:rsid w:val="00830DFD"/>
    <w:rsid w:val="00831680"/>
    <w:rsid w:val="008A4976"/>
    <w:rsid w:val="008D5C7D"/>
    <w:rsid w:val="009D6656"/>
    <w:rsid w:val="009E52FE"/>
    <w:rsid w:val="00A13792"/>
    <w:rsid w:val="00AE5056"/>
    <w:rsid w:val="00AF79DC"/>
    <w:rsid w:val="00B13088"/>
    <w:rsid w:val="00B35AF5"/>
    <w:rsid w:val="00BA7E10"/>
    <w:rsid w:val="00BD6687"/>
    <w:rsid w:val="00BF7C9A"/>
    <w:rsid w:val="00C31744"/>
    <w:rsid w:val="00C457C7"/>
    <w:rsid w:val="00C65122"/>
    <w:rsid w:val="00CA0606"/>
    <w:rsid w:val="00CA4174"/>
    <w:rsid w:val="00CB0DBB"/>
    <w:rsid w:val="00CD0B97"/>
    <w:rsid w:val="00D25B59"/>
    <w:rsid w:val="00D417A4"/>
    <w:rsid w:val="00D52443"/>
    <w:rsid w:val="00DA5866"/>
    <w:rsid w:val="00E00AD2"/>
    <w:rsid w:val="00E477C0"/>
    <w:rsid w:val="00E7140D"/>
    <w:rsid w:val="00F37069"/>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233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444.html" TargetMode="External"/><Relationship Id="rId13" Type="http://schemas.openxmlformats.org/officeDocument/2006/relationships/hyperlink" Target="http://ssfb86.com/index/News/detail/newsid/2444.html" TargetMode="External"/><Relationship Id="rId18" Type="http://schemas.openxmlformats.org/officeDocument/2006/relationships/hyperlink" Target="http://ssfb86.com/index/News/detail/newsid/2444.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fb86.com/index/News/detail/newsid/2444.html" TargetMode="External"/><Relationship Id="rId7" Type="http://schemas.openxmlformats.org/officeDocument/2006/relationships/hyperlink" Target="http://ssfb86.com/index/News/detail/newsid/2505.html" TargetMode="External"/><Relationship Id="rId12" Type="http://schemas.openxmlformats.org/officeDocument/2006/relationships/hyperlink" Target="http://ssfb86.com/index/News/detail/newsid/2444.html" TargetMode="External"/><Relationship Id="rId17" Type="http://schemas.openxmlformats.org/officeDocument/2006/relationships/hyperlink" Target="http://ssfb86.com/index/News/detail/newsid/2444.html" TargetMode="External"/><Relationship Id="rId25" Type="http://schemas.openxmlformats.org/officeDocument/2006/relationships/hyperlink" Target="http://ssfb86.com/index/News/detail/newsid/2444.html" TargetMode="External"/><Relationship Id="rId2" Type="http://schemas.openxmlformats.org/officeDocument/2006/relationships/styles" Target="styles.xml"/><Relationship Id="rId16" Type="http://schemas.openxmlformats.org/officeDocument/2006/relationships/hyperlink" Target="http://ssfb86.com/index/News/detail/newsid/2444.html" TargetMode="External"/><Relationship Id="rId20" Type="http://schemas.openxmlformats.org/officeDocument/2006/relationships/hyperlink" Target="http://ssfb86.com/index/News/detail/newsid/244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2444.html" TargetMode="External"/><Relationship Id="rId24" Type="http://schemas.openxmlformats.org/officeDocument/2006/relationships/hyperlink" Target="http://ssfb86.com/index/News/detail/newsid/2444.html" TargetMode="External"/><Relationship Id="rId5" Type="http://schemas.openxmlformats.org/officeDocument/2006/relationships/footnotes" Target="footnotes.xml"/><Relationship Id="rId15" Type="http://schemas.openxmlformats.org/officeDocument/2006/relationships/hyperlink" Target="http://ssfb86.com/index/News/detail/newsid/2444.html" TargetMode="External"/><Relationship Id="rId23" Type="http://schemas.openxmlformats.org/officeDocument/2006/relationships/hyperlink" Target="http://ssfb86.com/index/News/detail/newsid/2444.html" TargetMode="External"/><Relationship Id="rId28" Type="http://schemas.openxmlformats.org/officeDocument/2006/relationships/theme" Target="theme/theme1.xml"/><Relationship Id="rId10" Type="http://schemas.openxmlformats.org/officeDocument/2006/relationships/hyperlink" Target="http://ssfb86.com/index/News/detail/newsid/2444.html" TargetMode="External"/><Relationship Id="rId19" Type="http://schemas.openxmlformats.org/officeDocument/2006/relationships/hyperlink" Target="http://ssfb86.com/index/News/detail/newsid/2444.html" TargetMode="External"/><Relationship Id="rId4" Type="http://schemas.openxmlformats.org/officeDocument/2006/relationships/webSettings" Target="webSettings.xml"/><Relationship Id="rId9" Type="http://schemas.openxmlformats.org/officeDocument/2006/relationships/hyperlink" Target="http://ssfb86.com/index/News/detail/newsid/2444.html" TargetMode="External"/><Relationship Id="rId14" Type="http://schemas.openxmlformats.org/officeDocument/2006/relationships/hyperlink" Target="http://ssfb86.com/index/News/detail/newsid/2444.html" TargetMode="External"/><Relationship Id="rId22" Type="http://schemas.openxmlformats.org/officeDocument/2006/relationships/hyperlink" Target="http://ssfb86.com/index/News/detail/newsid/2444.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2020-07-03T21:52:00Z</dcterms:created>
  <dcterms:modified xsi:type="dcterms:W3CDTF">2020-10-03T09:02:00Z</dcterms:modified>
</cp:coreProperties>
</file>