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5A30313A"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1472B4">
        <w:rPr>
          <w:color w:val="000000" w:themeColor="text1"/>
          <w:sz w:val="44"/>
          <w:szCs w:val="44"/>
        </w:rPr>
        <w:t>9</w:t>
      </w:r>
      <w:r w:rsidR="008D5C7D" w:rsidRPr="007D7D01">
        <w:rPr>
          <w:color w:val="000000" w:themeColor="text1"/>
          <w:sz w:val="44"/>
          <w:szCs w:val="44"/>
        </w:rPr>
        <w:t xml:space="preserve">  </w:t>
      </w:r>
      <w:r w:rsidR="001472B4" w:rsidRPr="001472B4">
        <w:rPr>
          <w:rFonts w:hint="eastAsia"/>
          <w:color w:val="000000" w:themeColor="text1"/>
          <w:sz w:val="44"/>
          <w:szCs w:val="44"/>
        </w:rPr>
        <w:t>黄金交易所黄金交易增值税管理</w:t>
      </w:r>
    </w:p>
    <w:p w14:paraId="4438943B" w14:textId="63D7A12F" w:rsidR="00672DDC" w:rsidRDefault="00672DDC" w:rsidP="00672DDC">
      <w:pPr>
        <w:pStyle w:val="a3"/>
        <w:shd w:val="clear" w:color="auto" w:fill="FFFFFF"/>
        <w:spacing w:beforeLines="50" w:before="156" w:line="480" w:lineRule="atLeast"/>
        <w:ind w:firstLine="482"/>
        <w:rPr>
          <w:color w:val="000000" w:themeColor="text1"/>
        </w:rPr>
      </w:pPr>
    </w:p>
    <w:p w14:paraId="624F746B" w14:textId="318F35B3" w:rsidR="00464E18" w:rsidRPr="00464E18" w:rsidRDefault="00464E18" w:rsidP="00672DDC">
      <w:pPr>
        <w:pStyle w:val="a3"/>
        <w:shd w:val="clear" w:color="auto" w:fill="FFFFFF"/>
        <w:spacing w:beforeLines="50" w:before="156" w:line="480" w:lineRule="atLeast"/>
        <w:ind w:firstLine="482"/>
        <w:rPr>
          <w:rFonts w:hint="eastAsia"/>
          <w:color w:val="000000" w:themeColor="text1"/>
        </w:rPr>
      </w:pPr>
      <w:r w:rsidRPr="00464E18">
        <w:rPr>
          <w:rFonts w:asciiTheme="minorHAnsi" w:eastAsiaTheme="minorEastAsia" w:hAnsiTheme="minorHAnsi" w:cstheme="minorBidi" w:hint="eastAsia"/>
          <w:color w:val="333333"/>
          <w:kern w:val="2"/>
          <w:shd w:val="clear" w:color="auto" w:fill="FFFFFF"/>
        </w:rPr>
        <w:t>为了贯彻国务院关于黄金体制改革决定的要求，加强黄金交易的增值税征收管理，并根据财政部、国家税务总局《</w:t>
      </w:r>
      <w:hyperlink r:id="rId7" w:tgtFrame="_self" w:history="1">
        <w:r w:rsidRPr="00464E18">
          <w:rPr>
            <w:rFonts w:asciiTheme="minorHAnsi" w:eastAsiaTheme="minorEastAsia" w:hAnsiTheme="minorHAnsi" w:cstheme="minorBidi" w:hint="eastAsia"/>
            <w:color w:val="6E6E6E"/>
            <w:kern w:val="2"/>
            <w:u w:val="single"/>
            <w:shd w:val="clear" w:color="auto" w:fill="FFFFFF"/>
          </w:rPr>
          <w:t>关于黄金税收政策问题的通知</w:t>
        </w:r>
      </w:hyperlink>
      <w:r w:rsidRPr="00464E18">
        <w:rPr>
          <w:rFonts w:asciiTheme="minorHAnsi" w:eastAsiaTheme="minorEastAsia" w:hAnsiTheme="minorHAnsi" w:cstheme="minorBidi" w:hint="eastAsia"/>
          <w:color w:val="333333"/>
          <w:kern w:val="2"/>
          <w:shd w:val="clear" w:color="auto" w:fill="FFFFFF"/>
        </w:rPr>
        <w:t>》的规定，现将《黄金交易所黄金交易增值税征收管理办法》印发给你们，请遵照执行。各地在对黄金征收增值税的过程中如发现问题，应及时上报国家税务总局</w:t>
      </w:r>
      <w:r>
        <w:rPr>
          <w:rFonts w:asciiTheme="minorHAnsi" w:eastAsiaTheme="minorEastAsia" w:hAnsiTheme="minorHAnsi" w:cstheme="minorBidi" w:hint="eastAsia"/>
          <w:color w:val="333333"/>
          <w:kern w:val="2"/>
          <w:shd w:val="clear" w:color="auto" w:fill="FFFFFF"/>
        </w:rPr>
        <w:t>。</w:t>
      </w:r>
    </w:p>
    <w:p w14:paraId="5A0D4D57"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0" w:name="_Toc12895240"/>
      <w:r w:rsidRPr="006135BA">
        <w:rPr>
          <w:rFonts w:asciiTheme="minorEastAsia" w:hAnsiTheme="minorEastAsia" w:hint="eastAsia"/>
          <w:sz w:val="24"/>
          <w:szCs w:val="24"/>
        </w:rPr>
        <w:t>一、关于黄金交易的品种</w:t>
      </w:r>
      <w:bookmarkEnd w:id="0"/>
    </w:p>
    <w:p w14:paraId="4B5CEE94" w14:textId="77777777" w:rsidR="006135BA" w:rsidRPr="006135BA" w:rsidRDefault="006135BA" w:rsidP="006135BA">
      <w:pPr>
        <w:pStyle w:val="2"/>
        <w:spacing w:beforeLines="50" w:before="156" w:after="0" w:line="480" w:lineRule="atLeast"/>
        <w:rPr>
          <w:rFonts w:asciiTheme="minorEastAsia" w:eastAsiaTheme="minorEastAsia" w:hAnsiTheme="minorEastAsia"/>
          <w:sz w:val="24"/>
          <w:szCs w:val="24"/>
        </w:rPr>
      </w:pPr>
      <w:bookmarkStart w:id="1" w:name="_Toc12895241"/>
      <w:r w:rsidRPr="006135BA">
        <w:rPr>
          <w:rFonts w:asciiTheme="minorEastAsia" w:eastAsiaTheme="minorEastAsia" w:hAnsiTheme="minorEastAsia" w:hint="eastAsia"/>
          <w:sz w:val="24"/>
          <w:szCs w:val="24"/>
        </w:rPr>
        <w:t>（一）标准黄金产品</w:t>
      </w:r>
      <w:bookmarkEnd w:id="1"/>
    </w:p>
    <w:p w14:paraId="473973CA"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四种成色：AU9999</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AU9995</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AU999</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AU995</w:t>
      </w:r>
      <w:r w:rsidRPr="006135BA">
        <w:rPr>
          <w:rFonts w:ascii="微软雅黑" w:eastAsia="微软雅黑" w:hAnsi="微软雅黑" w:cs="微软雅黑" w:hint="eastAsia"/>
          <w:color w:val="000000" w:themeColor="text1"/>
        </w:rPr>
        <w:t>｡</w:t>
      </w:r>
    </w:p>
    <w:p w14:paraId="021BE5ED"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五种规格:50克</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100克</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1公斤</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3公斤</w:t>
      </w:r>
      <w:r w:rsidRPr="006135BA">
        <w:rPr>
          <w:rFonts w:ascii="微软雅黑" w:eastAsia="微软雅黑" w:hAnsi="微软雅黑" w:cs="微软雅黑" w:hint="eastAsia"/>
          <w:color w:val="000000" w:themeColor="text1"/>
        </w:rPr>
        <w:t>､</w:t>
      </w:r>
      <w:r w:rsidRPr="006135BA">
        <w:rPr>
          <w:rFonts w:asciiTheme="minorEastAsia" w:eastAsiaTheme="minorEastAsia" w:hAnsiTheme="minorEastAsia" w:hint="eastAsia"/>
          <w:color w:val="000000" w:themeColor="text1"/>
        </w:rPr>
        <w:t>12.5公斤</w:t>
      </w:r>
      <w:r w:rsidRPr="006135BA">
        <w:rPr>
          <w:rFonts w:ascii="微软雅黑" w:eastAsia="微软雅黑" w:hAnsi="微软雅黑" w:cs="微软雅黑" w:hint="eastAsia"/>
          <w:color w:val="000000" w:themeColor="text1"/>
        </w:rPr>
        <w:t>｡</w:t>
      </w:r>
    </w:p>
    <w:p w14:paraId="03506AE6" w14:textId="247177E3"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bookmarkStart w:id="2" w:name="_Hlk52637049"/>
      <w:r w:rsidR="00464E18">
        <w:rPr>
          <w:rFonts w:asciiTheme="minorEastAsia" w:eastAsiaTheme="minorEastAsia" w:hAnsiTheme="minorEastAsia"/>
          <w:shd w:val="clear" w:color="auto" w:fill="FFFFFF"/>
        </w:rPr>
        <w:fldChar w:fldCharType="begin"/>
      </w:r>
      <w:r w:rsidR="00464E18">
        <w:rPr>
          <w:rFonts w:asciiTheme="minorEastAsia" w:eastAsiaTheme="minorEastAsia" w:hAnsiTheme="minorEastAsia"/>
          <w:shd w:val="clear" w:color="auto" w:fill="FFFFFF"/>
        </w:rPr>
        <w:instrText xml:space="preserve"> HYPERLINK "http://ssfb86.com/index/News/detail/newsid/3987.html" </w:instrText>
      </w:r>
      <w:r w:rsidR="00464E18">
        <w:rPr>
          <w:rFonts w:asciiTheme="minorEastAsia" w:eastAsiaTheme="minorEastAsia" w:hAnsiTheme="minorEastAsia"/>
          <w:shd w:val="clear" w:color="auto" w:fill="FFFFFF"/>
        </w:rPr>
      </w:r>
      <w:r w:rsidR="00464E18">
        <w:rPr>
          <w:rFonts w:asciiTheme="minorEastAsia" w:eastAsiaTheme="minorEastAsia" w:hAnsiTheme="minorEastAsia"/>
          <w:shd w:val="clear" w:color="auto" w:fill="FFFFFF"/>
        </w:rPr>
        <w:fldChar w:fldCharType="separate"/>
      </w:r>
      <w:r w:rsidRPr="00464E18">
        <w:rPr>
          <w:rStyle w:val="a4"/>
          <w:rFonts w:asciiTheme="minorEastAsia" w:eastAsiaTheme="minorEastAsia" w:hAnsiTheme="minorEastAsia" w:hint="eastAsia"/>
          <w:shd w:val="clear" w:color="auto" w:fill="FFFFFF"/>
        </w:rPr>
        <w:t>国税发明电[2002]47号</w:t>
      </w:r>
      <w:r w:rsidR="00464E18">
        <w:rPr>
          <w:rFonts w:asciiTheme="minorEastAsia" w:eastAsiaTheme="minorEastAsia" w:hAnsiTheme="minorEastAsia"/>
          <w:shd w:val="clear" w:color="auto" w:fill="FFFFFF"/>
        </w:rPr>
        <w:fldChar w:fldCharType="end"/>
      </w:r>
      <w:bookmarkEnd w:id="2"/>
      <w:r w:rsidRPr="006135BA">
        <w:rPr>
          <w:rFonts w:asciiTheme="minorEastAsia" w:eastAsiaTheme="minorEastAsia" w:hAnsiTheme="minorEastAsia" w:hint="eastAsia"/>
          <w:color w:val="000000" w:themeColor="text1"/>
          <w:shd w:val="clear" w:color="auto" w:fill="FFFFFF"/>
        </w:rPr>
        <w:t>第一条第一款）</w:t>
      </w:r>
    </w:p>
    <w:p w14:paraId="3F21BD11" w14:textId="77777777" w:rsidR="006135BA" w:rsidRPr="006135BA" w:rsidRDefault="006135BA" w:rsidP="006135BA">
      <w:pPr>
        <w:pStyle w:val="2"/>
        <w:spacing w:beforeLines="50" w:before="156" w:after="0" w:line="480" w:lineRule="atLeast"/>
        <w:rPr>
          <w:rFonts w:asciiTheme="minorEastAsia" w:eastAsiaTheme="minorEastAsia" w:hAnsiTheme="minorEastAsia"/>
          <w:sz w:val="24"/>
          <w:szCs w:val="24"/>
        </w:rPr>
      </w:pPr>
      <w:bookmarkStart w:id="3" w:name="_Toc12895242"/>
      <w:r w:rsidRPr="006135BA">
        <w:rPr>
          <w:rFonts w:asciiTheme="minorEastAsia" w:eastAsiaTheme="minorEastAsia" w:hAnsiTheme="minorEastAsia" w:hint="eastAsia"/>
          <w:sz w:val="24"/>
          <w:szCs w:val="24"/>
        </w:rPr>
        <w:t>（二）非标准黄金产品</w:t>
      </w:r>
      <w:bookmarkEnd w:id="3"/>
    </w:p>
    <w:p w14:paraId="0C5F18E7"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除上述四种成色、五种规格以外的黄金产品。</w:t>
      </w:r>
    </w:p>
    <w:p w14:paraId="374B1F0D" w14:textId="7815CAA6"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8"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第一条第二款）</w:t>
      </w:r>
    </w:p>
    <w:p w14:paraId="57F2F3FD"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4" w:name="_Toc12895243"/>
      <w:r w:rsidRPr="006135BA">
        <w:rPr>
          <w:rFonts w:asciiTheme="minorEastAsia" w:hAnsiTheme="minorEastAsia" w:hint="eastAsia"/>
          <w:sz w:val="24"/>
          <w:szCs w:val="24"/>
        </w:rPr>
        <w:t>二、关于黄金交易的有关征税规定</w:t>
      </w:r>
      <w:bookmarkEnd w:id="4"/>
    </w:p>
    <w:p w14:paraId="1E870894"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一）为便于增值税的征收管理，按照黄金交易所章程规定注册登记的会员以及按照黄金交易所章程规定登记备案的客户，通过黄金交易所进行的标准黄金产品交易[并持有黄金交易所开具的《黄金交易结算发票》（结算联）]，未发生实物交割的，由卖出方会员单位或客户按实际成交价格向黄金交易所开具普通发票，并免征增值税；如发生实物交割的，由黄金交易所主管税务机关代黄金交易所按照实际成交价格向具有增值税一般纳税人资格的提货方会员单</w:t>
      </w:r>
      <w:r w:rsidRPr="006135BA">
        <w:rPr>
          <w:rFonts w:asciiTheme="minorEastAsia" w:eastAsiaTheme="minorEastAsia" w:hAnsiTheme="minorEastAsia" w:hint="eastAsia"/>
          <w:color w:val="000000" w:themeColor="text1"/>
        </w:rPr>
        <w:lastRenderedPageBreak/>
        <w:t>位或客户开具增值税专用发票（增值税专用发票的发票联、记账联、存根联由黄金交易所留存；抵扣联传递给提货方会员单位）。对提货方会员单位或客户为非增值税一般纳税人的，不得开具增值税专用发票。</w:t>
      </w:r>
    </w:p>
    <w:p w14:paraId="3D60DD2C" w14:textId="163B0A62"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11012900"/>
      <w:r w:rsidRPr="006135BA">
        <w:rPr>
          <w:rFonts w:asciiTheme="minorEastAsia" w:eastAsiaTheme="minorEastAsia" w:hAnsiTheme="minorEastAsia" w:hint="eastAsia"/>
          <w:color w:val="000000" w:themeColor="text1"/>
          <w:shd w:val="clear" w:color="auto" w:fill="FFFFFF"/>
        </w:rPr>
        <w:t>（</w:t>
      </w:r>
      <w:hyperlink r:id="rId9"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第二条第一款第一项）</w:t>
      </w:r>
    </w:p>
    <w:bookmarkEnd w:id="5"/>
    <w:p w14:paraId="4811BECB"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 xml:space="preserve"> “标准黄金实物交割”是指：会员单位或客户将在黄金交易所已成交的黄金从黄金交易所指定的金库提取黄金的行为。</w:t>
      </w:r>
    </w:p>
    <w:p w14:paraId="6BD15B78" w14:textId="39D8680D"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0"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第二条第一款第二项）</w:t>
      </w:r>
    </w:p>
    <w:p w14:paraId="59AEEFBF"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二）黄金交易所交易环节发生标准黄金实物交割，应按实际成交价格开具增值税专用发票，实际成交价格为所提取黄金买卖双方按规定报价方式所成交的价格，不包括交易费、仓储费等费用。为准确计算所提黄金的实际成交价格，黄金交易所应按后进先出法原则确定。</w:t>
      </w:r>
    </w:p>
    <w:p w14:paraId="2730549F" w14:textId="20ADE33A"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1"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第二条第二款）</w:t>
      </w:r>
    </w:p>
    <w:p w14:paraId="042B1043"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三）为便于增值税的征收管理，在黄金交易所开业初期，对非黄金生产会员单位或客户（不包括银行系统），应按本单位的黄金实际使用量从黄金交易所的指定金库提取黄金。对没有按本单位黄金实际使用量而从黄金交易所指定金库多提取的黄金，不得再向黄金交易所指定的金库存入黄金进行交易，包括黄金交易所开业之前非黄金生产会员单位或客户（不包括银行系统）在本单位的库存黄金。</w:t>
      </w:r>
    </w:p>
    <w:p w14:paraId="031B8C2C" w14:textId="066449F2"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2"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第二条第三款）</w:t>
      </w:r>
    </w:p>
    <w:p w14:paraId="52DD1F71"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（四）黄金交易所可享受增值税即征即返的优惠政策，同时免征城市建设维护税、教育费附加。</w:t>
      </w:r>
    </w:p>
    <w:p w14:paraId="080C1962" w14:textId="67E790E3"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3"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第二条第四款）</w:t>
      </w:r>
    </w:p>
    <w:p w14:paraId="53367B39"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（五）对纳税人不通过黄金交易所销售标准黄金的，不享受增值税即征即退和免征城市建设维护税、教育费附加的政策。</w:t>
      </w:r>
    </w:p>
    <w:p w14:paraId="6C222381" w14:textId="4CD748C4"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4"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第二条第五款）</w:t>
      </w:r>
    </w:p>
    <w:p w14:paraId="74B8F7FB"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6" w:name="_Toc12895244"/>
      <w:r w:rsidRPr="006135BA">
        <w:rPr>
          <w:rFonts w:asciiTheme="minorEastAsia" w:hAnsiTheme="minorEastAsia" w:hint="eastAsia"/>
          <w:sz w:val="24"/>
          <w:szCs w:val="24"/>
        </w:rPr>
        <w:lastRenderedPageBreak/>
        <w:t>三、会员单位和客户增值税进项税额的核算</w:t>
      </w:r>
      <w:bookmarkEnd w:id="6"/>
    </w:p>
    <w:p w14:paraId="770E5C94"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一）对会员单位（中国人民银行和黄金生产企业除外）或客户应对在黄金交易所黄金交易的进项税额实行单独核算，对按取得的黄金交易所开具的增值税专用发票上注明的增值税税额（包括相对应的买入量）单独记账。对会员或客户从黄金交易所购入黄金（指发生实物交割）再通过黄金交易所卖出时，应计算通过黄金交易所卖出黄金进项税额的转出额，并从当期进项税额中转出，同时计入成本；对企业当期账面进项税额小于通过下列公式计算出的应转出的进项税额，其差额部分应当立即补征入库。</w:t>
      </w:r>
    </w:p>
    <w:p w14:paraId="7D029877"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应转出的进项税额＝单位进项税额×当期黄金卖出量。</w:t>
      </w:r>
    </w:p>
    <w:p w14:paraId="67A0136D"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单位进项税额＝购入黄金的累计进项税额＋累计黄金购入额</w:t>
      </w:r>
    </w:p>
    <w:p w14:paraId="031622BB" w14:textId="3B7ACFA0"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5"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第三条第一款）</w:t>
      </w:r>
    </w:p>
    <w:p w14:paraId="033F0327"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（二）对会员单位（中国人民银行和黄金生产企业除外）或客户通过黄金交易所销售企业原有库存黄金，应按实际成交价格计算相应的进项税金转出额，并从当期进项税额中转出，计入成本。</w:t>
      </w:r>
    </w:p>
    <w:p w14:paraId="2368B0E2"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应转出的进项税额＝销售库存黄金实际成交价格÷(1+17%)×17%</w:t>
      </w:r>
      <w:r w:rsidRPr="006135BA">
        <w:rPr>
          <w:rFonts w:ascii="微软雅黑" w:eastAsia="微软雅黑" w:hAnsi="微软雅黑" w:cs="微软雅黑" w:hint="eastAsia"/>
          <w:color w:val="000000" w:themeColor="text1"/>
        </w:rPr>
        <w:t>｡</w:t>
      </w:r>
    </w:p>
    <w:p w14:paraId="0256A40B" w14:textId="743761BD"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6"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第三条第二款）</w:t>
      </w:r>
    </w:p>
    <w:p w14:paraId="50DFF2F1"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7" w:name="_Toc12895245"/>
      <w:r w:rsidRPr="006135BA">
        <w:rPr>
          <w:rFonts w:asciiTheme="minorEastAsia" w:hAnsiTheme="minorEastAsia" w:hint="eastAsia"/>
          <w:sz w:val="24"/>
          <w:szCs w:val="24"/>
        </w:rPr>
        <w:t>四、增值税一般纳税人的认定</w:t>
      </w:r>
      <w:bookmarkEnd w:id="7"/>
    </w:p>
    <w:p w14:paraId="3A77E331"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（一）为便于增值税的征收管理，黄金交易所应向所在地的主管税务机关申请办理增值税一般纳税人的认定手续，并申请印制《黄金交易结算发票》。</w:t>
      </w:r>
    </w:p>
    <w:p w14:paraId="24539EE7" w14:textId="1C6F234B"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7"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第四条第一款）</w:t>
      </w:r>
    </w:p>
    <w:p w14:paraId="3703BE10"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（二）会员单位和客户符合增值税一般纳税人认定资格的，可向其所在地的主管税务机关申请办理增值税一般纳税人的认定手续。</w:t>
      </w:r>
    </w:p>
    <w:p w14:paraId="259F43DB" w14:textId="7FCA7C66"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8"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第四条第二款第一项）</w:t>
      </w:r>
    </w:p>
    <w:p w14:paraId="69FAEC71"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lastRenderedPageBreak/>
        <w:t>会员和客户在黄金交易所所在地设有分支机构的，并由分支机构进行黄金交易的，对符合增值税一般纳税人资格的分支机构可向黄金交易所的主管税务机关申请办理一般纳税人的认定手续。</w:t>
      </w:r>
    </w:p>
    <w:p w14:paraId="5A4D9A9E" w14:textId="089A4E17"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19"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第四条第二款第二项）</w:t>
      </w:r>
    </w:p>
    <w:p w14:paraId="6E318AFE"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8" w:name="_Toc12895246"/>
      <w:r w:rsidRPr="006135BA">
        <w:rPr>
          <w:rFonts w:asciiTheme="minorEastAsia" w:hAnsiTheme="minorEastAsia" w:hint="eastAsia"/>
          <w:sz w:val="24"/>
          <w:szCs w:val="24"/>
        </w:rPr>
        <w:t>五、关于税务机关代开增值税专用发票</w:t>
      </w:r>
      <w:bookmarkEnd w:id="8"/>
    </w:p>
    <w:p w14:paraId="7DAE2C2E"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黄金交易所主管税务机关代开增值税专用发票中的单价、金额和税额的计算公式：</w:t>
      </w:r>
    </w:p>
    <w:p w14:paraId="1DE1CEEF" w14:textId="77777777" w:rsidR="006135BA" w:rsidRPr="006135BA" w:rsidRDefault="006135BA" w:rsidP="006135BA">
      <w:pPr>
        <w:pStyle w:val="a3"/>
        <w:shd w:val="clear" w:color="auto" w:fill="FFFFFF"/>
        <w:spacing w:beforeLines="50" w:before="156" w:line="480" w:lineRule="atLeast"/>
        <w:ind w:firstLineChars="150" w:firstLine="36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单价＝实际成交单价÷（1＋增值税税率）；</w:t>
      </w:r>
    </w:p>
    <w:p w14:paraId="7ACC61CA"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金额＝数额×单价；</w:t>
      </w:r>
    </w:p>
    <w:p w14:paraId="0DD080B7"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税额＝金额×税率；</w:t>
      </w:r>
    </w:p>
    <w:p w14:paraId="12E6A98D"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单价小数点后保留四位。</w:t>
      </w:r>
    </w:p>
    <w:p w14:paraId="36033B1F" w14:textId="1214D7AF"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20"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第五条）</w:t>
      </w:r>
    </w:p>
    <w:p w14:paraId="34FFF73E"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9" w:name="_Toc12895247"/>
      <w:r w:rsidRPr="006135BA">
        <w:rPr>
          <w:rFonts w:asciiTheme="minorEastAsia" w:hAnsiTheme="minorEastAsia" w:hint="eastAsia"/>
          <w:sz w:val="24"/>
          <w:szCs w:val="24"/>
        </w:rPr>
        <w:t>六、财务核算</w:t>
      </w:r>
      <w:bookmarkEnd w:id="9"/>
    </w:p>
    <w:p w14:paraId="5ABCDD57"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对会员单位和客户应按黄金交易所开具的《黄金交易结算发票》作为会计计账凭证进行财务核算；对买入方会员单位和客户取得税务部门代开的增值税专用发票（增值税专用发票的发票联、记账联、存根联由黄金交易所留存，抵扣联传递给提货方会员单位），只作为核算进项税额的凭证，不得作为财务核算的凭证。</w:t>
      </w:r>
    </w:p>
    <w:p w14:paraId="1A8427F4" w14:textId="40E28514"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21"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第六条）</w:t>
      </w:r>
    </w:p>
    <w:p w14:paraId="5AFD6AD8"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10" w:name="_Toc12895248"/>
      <w:r w:rsidRPr="006135BA">
        <w:rPr>
          <w:rFonts w:asciiTheme="minorEastAsia" w:hAnsiTheme="minorEastAsia" w:hint="eastAsia"/>
          <w:sz w:val="24"/>
          <w:szCs w:val="24"/>
        </w:rPr>
        <w:t>七、免税备案</w:t>
      </w:r>
      <w:bookmarkEnd w:id="10"/>
    </w:p>
    <w:p w14:paraId="46F8CAF1"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会员单位和客户未发生实物交割的，应凭黄金交易所开具的《黄金交易结算发票》（结算联），向会员单位和客户所在地税务机关办理免税手续。</w:t>
      </w:r>
    </w:p>
    <w:p w14:paraId="518E5DA9" w14:textId="34FCC97F" w:rsidR="006135BA" w:rsidRPr="006135BA" w:rsidRDefault="006135BA" w:rsidP="006135BA">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6135BA">
        <w:rPr>
          <w:rFonts w:asciiTheme="minorEastAsia" w:eastAsiaTheme="minorEastAsia" w:hAnsiTheme="minorEastAsia" w:hint="eastAsia"/>
          <w:color w:val="000000" w:themeColor="text1"/>
          <w:shd w:val="clear" w:color="auto" w:fill="FFFFFF"/>
        </w:rPr>
        <w:t>（</w:t>
      </w:r>
      <w:hyperlink r:id="rId22"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第七条）</w:t>
      </w:r>
    </w:p>
    <w:p w14:paraId="5DABFBA0" w14:textId="77777777" w:rsidR="006135BA" w:rsidRPr="006135BA" w:rsidRDefault="006135BA" w:rsidP="006135BA">
      <w:pPr>
        <w:pStyle w:val="1"/>
        <w:spacing w:beforeLines="50" w:before="156" w:after="0" w:line="480" w:lineRule="atLeast"/>
        <w:rPr>
          <w:rFonts w:asciiTheme="minorEastAsia" w:hAnsiTheme="minorEastAsia"/>
          <w:sz w:val="24"/>
          <w:szCs w:val="24"/>
        </w:rPr>
      </w:pPr>
      <w:bookmarkStart w:id="11" w:name="_Toc12895249"/>
      <w:r w:rsidRPr="006135BA">
        <w:rPr>
          <w:rFonts w:asciiTheme="minorEastAsia" w:hAnsiTheme="minorEastAsia" w:hint="eastAsia"/>
          <w:sz w:val="24"/>
          <w:szCs w:val="24"/>
        </w:rPr>
        <w:lastRenderedPageBreak/>
        <w:t>八、相关要求</w:t>
      </w:r>
      <w:bookmarkEnd w:id="11"/>
    </w:p>
    <w:p w14:paraId="29E12429" w14:textId="77777777" w:rsidR="006135BA" w:rsidRPr="006135BA" w:rsidRDefault="006135BA" w:rsidP="006135B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135BA">
        <w:rPr>
          <w:rFonts w:asciiTheme="minorEastAsia" w:eastAsiaTheme="minorEastAsia" w:hAnsiTheme="minorEastAsia" w:hint="eastAsia"/>
          <w:color w:val="000000" w:themeColor="text1"/>
        </w:rPr>
        <w:t>为便于增值税的征收管理，黄金交易所应加强对会员单位和客户的基础管理工作，会员单位的自营黄金交易与代理客户的黄金交易应分别进行核算。</w:t>
      </w:r>
    </w:p>
    <w:p w14:paraId="5218E48B" w14:textId="7533AF23" w:rsidR="00DD257C" w:rsidRPr="006135BA" w:rsidRDefault="006135BA" w:rsidP="00464E18">
      <w:pPr>
        <w:pStyle w:val="a3"/>
        <w:shd w:val="clear" w:color="auto" w:fill="FFFFFF"/>
        <w:spacing w:beforeLines="50" w:before="156" w:line="480" w:lineRule="atLeast"/>
        <w:ind w:firstLineChars="200" w:firstLine="480"/>
        <w:jc w:val="right"/>
        <w:rPr>
          <w:color w:val="000000" w:themeColor="text1"/>
        </w:rPr>
      </w:pPr>
      <w:r w:rsidRPr="006135BA">
        <w:rPr>
          <w:rFonts w:asciiTheme="minorEastAsia" w:eastAsiaTheme="minorEastAsia" w:hAnsiTheme="minorEastAsia" w:hint="eastAsia"/>
          <w:color w:val="000000" w:themeColor="text1"/>
          <w:shd w:val="clear" w:color="auto" w:fill="FFFFFF"/>
        </w:rPr>
        <w:t>（</w:t>
      </w:r>
      <w:hyperlink r:id="rId23" w:history="1">
        <w:r w:rsidR="00464E18" w:rsidRPr="00464E18">
          <w:rPr>
            <w:rStyle w:val="a4"/>
            <w:rFonts w:asciiTheme="minorEastAsia" w:eastAsiaTheme="minorEastAsia" w:hAnsiTheme="minorEastAsia" w:hint="eastAsia"/>
            <w:shd w:val="clear" w:color="auto" w:fill="FFFFFF"/>
          </w:rPr>
          <w:t>国税发明电[2002]47号</w:t>
        </w:r>
      </w:hyperlink>
      <w:r w:rsidRPr="006135BA">
        <w:rPr>
          <w:rFonts w:asciiTheme="minorEastAsia" w:eastAsiaTheme="minorEastAsia" w:hAnsiTheme="minorEastAsia" w:hint="eastAsia"/>
          <w:color w:val="000000" w:themeColor="text1"/>
          <w:shd w:val="clear" w:color="auto" w:fill="FFFFFF"/>
        </w:rPr>
        <w:t>第八条）</w:t>
      </w:r>
    </w:p>
    <w:sectPr w:rsidR="00DD257C" w:rsidRPr="006135BA">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F6A89" w14:textId="77777777" w:rsidR="001454CE" w:rsidRDefault="001454CE" w:rsidP="008A4976">
      <w:r>
        <w:separator/>
      </w:r>
    </w:p>
  </w:endnote>
  <w:endnote w:type="continuationSeparator" w:id="0">
    <w:p w14:paraId="33BA4C10" w14:textId="77777777" w:rsidR="001454CE" w:rsidRDefault="001454CE"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419F8" w14:textId="77777777" w:rsidR="001454CE" w:rsidRDefault="001454CE" w:rsidP="008A4976">
      <w:r>
        <w:separator/>
      </w:r>
    </w:p>
  </w:footnote>
  <w:footnote w:type="continuationSeparator" w:id="0">
    <w:p w14:paraId="33609CC5" w14:textId="77777777" w:rsidR="001454CE" w:rsidRDefault="001454CE"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B36DC"/>
    <w:rsid w:val="000B70ED"/>
    <w:rsid w:val="000E0142"/>
    <w:rsid w:val="00117105"/>
    <w:rsid w:val="00124157"/>
    <w:rsid w:val="001454CE"/>
    <w:rsid w:val="001472B4"/>
    <w:rsid w:val="00156542"/>
    <w:rsid w:val="00180AA2"/>
    <w:rsid w:val="001F0B3D"/>
    <w:rsid w:val="00217C7A"/>
    <w:rsid w:val="00223407"/>
    <w:rsid w:val="002E7F9B"/>
    <w:rsid w:val="00324860"/>
    <w:rsid w:val="003A1160"/>
    <w:rsid w:val="003C5CF6"/>
    <w:rsid w:val="00417B40"/>
    <w:rsid w:val="0046344C"/>
    <w:rsid w:val="00464E18"/>
    <w:rsid w:val="004A3700"/>
    <w:rsid w:val="004B37E5"/>
    <w:rsid w:val="004B74E4"/>
    <w:rsid w:val="004C0F85"/>
    <w:rsid w:val="00540CBE"/>
    <w:rsid w:val="005463D2"/>
    <w:rsid w:val="00586D71"/>
    <w:rsid w:val="005E1334"/>
    <w:rsid w:val="00605259"/>
    <w:rsid w:val="006135BA"/>
    <w:rsid w:val="0061698A"/>
    <w:rsid w:val="00672DDC"/>
    <w:rsid w:val="006813D8"/>
    <w:rsid w:val="006853B2"/>
    <w:rsid w:val="006942D5"/>
    <w:rsid w:val="00706A2B"/>
    <w:rsid w:val="00733ADE"/>
    <w:rsid w:val="007D7D01"/>
    <w:rsid w:val="0080484F"/>
    <w:rsid w:val="00830DFD"/>
    <w:rsid w:val="00831680"/>
    <w:rsid w:val="008A4976"/>
    <w:rsid w:val="008D5C7D"/>
    <w:rsid w:val="009D6656"/>
    <w:rsid w:val="009E52FE"/>
    <w:rsid w:val="00A13792"/>
    <w:rsid w:val="00AE5056"/>
    <w:rsid w:val="00AF79DC"/>
    <w:rsid w:val="00B13088"/>
    <w:rsid w:val="00B35AF5"/>
    <w:rsid w:val="00BA7E10"/>
    <w:rsid w:val="00BD6687"/>
    <w:rsid w:val="00BF7C9A"/>
    <w:rsid w:val="00C31744"/>
    <w:rsid w:val="00C457C7"/>
    <w:rsid w:val="00C65122"/>
    <w:rsid w:val="00CA0606"/>
    <w:rsid w:val="00CA4174"/>
    <w:rsid w:val="00CB0DBB"/>
    <w:rsid w:val="00CD0B97"/>
    <w:rsid w:val="00D25B59"/>
    <w:rsid w:val="00D417A4"/>
    <w:rsid w:val="00D52443"/>
    <w:rsid w:val="00D810B5"/>
    <w:rsid w:val="00DA5866"/>
    <w:rsid w:val="00DD257C"/>
    <w:rsid w:val="00E00AD2"/>
    <w:rsid w:val="00E477C0"/>
    <w:rsid w:val="00E7140D"/>
    <w:rsid w:val="00F3706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464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987.html" TargetMode="External"/><Relationship Id="rId13" Type="http://schemas.openxmlformats.org/officeDocument/2006/relationships/hyperlink" Target="http://ssfb86.com/index/News/detail/newsid/3987.html" TargetMode="External"/><Relationship Id="rId18" Type="http://schemas.openxmlformats.org/officeDocument/2006/relationships/hyperlink" Target="http://ssfb86.com/index/News/detail/newsid/398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b86.com/index/News/detail/newsid/3987.html" TargetMode="External"/><Relationship Id="rId7" Type="http://schemas.openxmlformats.org/officeDocument/2006/relationships/hyperlink" Target="http://ssfb86.com/index/News/detail/newsid/4004.html" TargetMode="External"/><Relationship Id="rId12" Type="http://schemas.openxmlformats.org/officeDocument/2006/relationships/hyperlink" Target="http://ssfb86.com/index/News/detail/newsid/3987.html" TargetMode="External"/><Relationship Id="rId17" Type="http://schemas.openxmlformats.org/officeDocument/2006/relationships/hyperlink" Target="http://ssfb86.com/index/News/detail/newsid/398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3987.html" TargetMode="External"/><Relationship Id="rId20" Type="http://schemas.openxmlformats.org/officeDocument/2006/relationships/hyperlink" Target="http://ssfb86.com/index/News/detail/newsid/3987.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3987.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3987.html" TargetMode="External"/><Relationship Id="rId23" Type="http://schemas.openxmlformats.org/officeDocument/2006/relationships/hyperlink" Target="http://ssfb86.com/index/News/detail/newsid/3987.html" TargetMode="External"/><Relationship Id="rId10" Type="http://schemas.openxmlformats.org/officeDocument/2006/relationships/hyperlink" Target="http://ssfb86.com/index/News/detail/newsid/3987.html" TargetMode="External"/><Relationship Id="rId19" Type="http://schemas.openxmlformats.org/officeDocument/2006/relationships/hyperlink" Target="http://ssfb86.com/index/News/detail/newsid/3987.html" TargetMode="External"/><Relationship Id="rId4" Type="http://schemas.openxmlformats.org/officeDocument/2006/relationships/webSettings" Target="webSettings.xml"/><Relationship Id="rId9" Type="http://schemas.openxmlformats.org/officeDocument/2006/relationships/hyperlink" Target="http://ssfb86.com/index/News/detail/newsid/3987.html" TargetMode="External"/><Relationship Id="rId14" Type="http://schemas.openxmlformats.org/officeDocument/2006/relationships/hyperlink" Target="http://ssfb86.com/index/News/detail/newsid/3987.html" TargetMode="External"/><Relationship Id="rId22" Type="http://schemas.openxmlformats.org/officeDocument/2006/relationships/hyperlink" Target="http://ssfb86.com/index/News/detail/newsid/398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2020-07-03T21:56:00Z</dcterms:created>
  <dcterms:modified xsi:type="dcterms:W3CDTF">2020-10-03T09:06:00Z</dcterms:modified>
</cp:coreProperties>
</file>