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53C61087" w14:textId="6D949614" w:rsidR="008D5C7D" w:rsidRDefault="00CD0B97" w:rsidP="006813D8">
      <w:pPr>
        <w:pStyle w:val="a3"/>
        <w:shd w:val="clear" w:color="auto" w:fill="FFFFFF"/>
        <w:spacing w:beforeLines="50" w:before="156" w:line="480" w:lineRule="atLeast"/>
        <w:ind w:firstLine="482"/>
        <w:jc w:val="center"/>
        <w:rPr>
          <w:color w:val="000000" w:themeColor="text1"/>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877989">
        <w:rPr>
          <w:color w:val="000000" w:themeColor="text1"/>
          <w:sz w:val="44"/>
          <w:szCs w:val="44"/>
        </w:rPr>
        <w:t>1</w:t>
      </w:r>
      <w:r w:rsidR="00985B1A">
        <w:rPr>
          <w:color w:val="000000" w:themeColor="text1"/>
          <w:sz w:val="44"/>
          <w:szCs w:val="44"/>
        </w:rPr>
        <w:t>4</w:t>
      </w:r>
      <w:r w:rsidR="008D5C7D" w:rsidRPr="007D7D01">
        <w:rPr>
          <w:color w:val="000000" w:themeColor="text1"/>
          <w:sz w:val="44"/>
          <w:szCs w:val="44"/>
        </w:rPr>
        <w:t xml:space="preserve">  </w:t>
      </w:r>
      <w:r w:rsidR="00985B1A" w:rsidRPr="00985B1A">
        <w:rPr>
          <w:rFonts w:hint="eastAsia"/>
          <w:color w:val="000000" w:themeColor="text1"/>
          <w:sz w:val="44"/>
          <w:szCs w:val="44"/>
        </w:rPr>
        <w:t>成品油加油站增值税管理</w:t>
      </w:r>
    </w:p>
    <w:p w14:paraId="4438943B" w14:textId="6CBF99A3" w:rsidR="00672DDC" w:rsidRDefault="00672DDC" w:rsidP="00672DDC">
      <w:pPr>
        <w:pStyle w:val="a3"/>
        <w:shd w:val="clear" w:color="auto" w:fill="FFFFFF"/>
        <w:spacing w:beforeLines="50" w:before="156" w:line="480" w:lineRule="atLeast"/>
        <w:ind w:firstLine="482"/>
        <w:rPr>
          <w:color w:val="000000" w:themeColor="text1"/>
        </w:rPr>
      </w:pPr>
    </w:p>
    <w:p w14:paraId="09A4E9A9" w14:textId="66C39B42"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为加强成品油零售加油站的增值税征收管理，堵塞税收管理漏洞，根据</w:t>
      </w:r>
      <w:r w:rsidR="007F50A0" w:rsidRPr="007F50A0">
        <w:rPr>
          <w:rFonts w:hint="eastAsia"/>
          <w:color w:val="333333"/>
          <w:sz w:val="24"/>
          <w:szCs w:val="24"/>
          <w:shd w:val="clear" w:color="auto" w:fill="FFFFFF"/>
        </w:rPr>
        <w:t>《</w:t>
      </w:r>
      <w:hyperlink r:id="rId7" w:tgtFrame="_self" w:history="1">
        <w:r w:rsidR="007F50A0" w:rsidRPr="007F50A0">
          <w:rPr>
            <w:rFonts w:hint="eastAsia"/>
            <w:color w:val="6E6E6E"/>
            <w:sz w:val="24"/>
            <w:szCs w:val="24"/>
            <w:u w:val="single"/>
            <w:shd w:val="clear" w:color="auto" w:fill="FFFFFF"/>
          </w:rPr>
          <w:t>中华人民共和国税收征收管理法</w:t>
        </w:r>
      </w:hyperlink>
      <w:r w:rsidR="007F50A0" w:rsidRPr="007F50A0">
        <w:rPr>
          <w:rFonts w:hint="eastAsia"/>
          <w:color w:val="333333"/>
          <w:sz w:val="24"/>
          <w:szCs w:val="24"/>
          <w:shd w:val="clear" w:color="auto" w:fill="FFFFFF"/>
        </w:rPr>
        <w:t>》、《</w:t>
      </w:r>
      <w:hyperlink r:id="rId8" w:tgtFrame="_self" w:history="1">
        <w:r w:rsidR="007F50A0" w:rsidRPr="007F50A0">
          <w:rPr>
            <w:rFonts w:hint="eastAsia"/>
            <w:color w:val="6E6E6E"/>
            <w:sz w:val="24"/>
            <w:szCs w:val="24"/>
            <w:u w:val="single"/>
            <w:shd w:val="clear" w:color="auto" w:fill="FFFFFF"/>
          </w:rPr>
          <w:t>中华人民共和国增值税暂行条例</w:t>
        </w:r>
      </w:hyperlink>
      <w:r w:rsidR="007F50A0" w:rsidRPr="007F50A0">
        <w:rPr>
          <w:rFonts w:hint="eastAsia"/>
          <w:color w:val="333333"/>
          <w:sz w:val="24"/>
          <w:szCs w:val="24"/>
          <w:shd w:val="clear" w:color="auto" w:fill="FFFFFF"/>
        </w:rPr>
        <w:t>》</w:t>
      </w:r>
      <w:r w:rsidRPr="006F5080">
        <w:rPr>
          <w:rFonts w:asciiTheme="minorEastAsia" w:hAnsiTheme="minorEastAsia" w:cs="宋体"/>
          <w:color w:val="000000" w:themeColor="text1"/>
          <w:kern w:val="0"/>
          <w:sz w:val="24"/>
          <w:szCs w:val="24"/>
        </w:rPr>
        <w:t>及有关税收政策规定，制定本办法。</w:t>
      </w:r>
    </w:p>
    <w:p w14:paraId="16A49BB0" w14:textId="77777777" w:rsidR="006F5080" w:rsidRPr="006F5080" w:rsidRDefault="006F5080" w:rsidP="006F5080">
      <w:pPr>
        <w:pStyle w:val="1"/>
        <w:spacing w:before="50" w:after="0" w:line="480" w:lineRule="atLeast"/>
        <w:rPr>
          <w:sz w:val="24"/>
          <w:szCs w:val="24"/>
        </w:rPr>
      </w:pPr>
      <w:bookmarkStart w:id="0" w:name="_Toc12895214"/>
      <w:r w:rsidRPr="006F5080">
        <w:rPr>
          <w:rFonts w:hint="eastAsia"/>
          <w:sz w:val="24"/>
          <w:szCs w:val="24"/>
        </w:rPr>
        <w:t>一、适用范围</w:t>
      </w:r>
      <w:bookmarkEnd w:id="0"/>
    </w:p>
    <w:p w14:paraId="43F5779E"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凡经经贸委批准从事成品油零售业务，并已办理工商、税务登记，有固定经营场所，使用加油机自动计量销售成品油的单位和个体经营者（以下简称加油站），适用本办法。</w:t>
      </w:r>
    </w:p>
    <w:p w14:paraId="3AFAC995" w14:textId="4B4A7FC8"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10988846"/>
      <w:r w:rsidRPr="006F5080">
        <w:rPr>
          <w:rFonts w:asciiTheme="minorEastAsia" w:hAnsiTheme="minorEastAsia" w:hint="eastAsia"/>
          <w:color w:val="000000" w:themeColor="text1"/>
          <w:sz w:val="24"/>
          <w:szCs w:val="24"/>
          <w:shd w:val="clear" w:color="auto" w:fill="FFFFFF"/>
        </w:rPr>
        <w:t>（</w:t>
      </w:r>
      <w:bookmarkStart w:id="2" w:name="_Hlk52639515"/>
      <w:r w:rsidR="007F50A0">
        <w:rPr>
          <w:rFonts w:asciiTheme="minorEastAsia" w:hAnsiTheme="minorEastAsia"/>
          <w:sz w:val="24"/>
          <w:szCs w:val="24"/>
          <w:shd w:val="clear" w:color="auto" w:fill="FFFFFF"/>
        </w:rPr>
        <w:fldChar w:fldCharType="begin"/>
      </w:r>
      <w:r w:rsidR="007F50A0">
        <w:rPr>
          <w:rFonts w:asciiTheme="minorEastAsia" w:hAnsiTheme="minorEastAsia"/>
          <w:sz w:val="24"/>
          <w:szCs w:val="24"/>
          <w:shd w:val="clear" w:color="auto" w:fill="FFFFFF"/>
        </w:rPr>
        <w:instrText xml:space="preserve"> HYPERLINK "http://ssfb86.com/index/News/detail/newsid/4090.html" </w:instrText>
      </w:r>
      <w:r w:rsidR="007F50A0">
        <w:rPr>
          <w:rFonts w:asciiTheme="minorEastAsia" w:hAnsiTheme="minorEastAsia"/>
          <w:sz w:val="24"/>
          <w:szCs w:val="24"/>
          <w:shd w:val="clear" w:color="auto" w:fill="FFFFFF"/>
        </w:rPr>
      </w:r>
      <w:r w:rsidR="007F50A0">
        <w:rPr>
          <w:rFonts w:asciiTheme="minorEastAsia" w:hAnsiTheme="minorEastAsia"/>
          <w:sz w:val="24"/>
          <w:szCs w:val="24"/>
          <w:shd w:val="clear" w:color="auto" w:fill="FFFFFF"/>
        </w:rPr>
        <w:fldChar w:fldCharType="separate"/>
      </w:r>
      <w:r w:rsidRPr="007F50A0">
        <w:rPr>
          <w:rStyle w:val="a4"/>
          <w:rFonts w:asciiTheme="minorEastAsia" w:hAnsiTheme="minorEastAsia" w:hint="eastAsia"/>
          <w:sz w:val="24"/>
          <w:szCs w:val="24"/>
          <w:shd w:val="clear" w:color="auto" w:fill="FFFFFF"/>
        </w:rPr>
        <w:t>国家税务总局令第2号</w:t>
      </w:r>
      <w:r w:rsidR="007F50A0">
        <w:rPr>
          <w:rFonts w:asciiTheme="minorEastAsia" w:hAnsiTheme="minorEastAsia"/>
          <w:sz w:val="24"/>
          <w:szCs w:val="24"/>
          <w:shd w:val="clear" w:color="auto" w:fill="FFFFFF"/>
        </w:rPr>
        <w:fldChar w:fldCharType="end"/>
      </w:r>
      <w:bookmarkEnd w:id="2"/>
      <w:r w:rsidRPr="006F5080">
        <w:rPr>
          <w:rFonts w:asciiTheme="minorEastAsia" w:hAnsiTheme="minorEastAsia" w:hint="eastAsia"/>
          <w:color w:val="000000" w:themeColor="text1"/>
          <w:sz w:val="24"/>
          <w:szCs w:val="24"/>
          <w:shd w:val="clear" w:color="auto" w:fill="FFFFFF"/>
        </w:rPr>
        <w:t>第二条）</w:t>
      </w:r>
    </w:p>
    <w:p w14:paraId="42142329" w14:textId="77777777" w:rsidR="006F5080" w:rsidRPr="006F5080" w:rsidRDefault="006F5080" w:rsidP="006F5080">
      <w:pPr>
        <w:pStyle w:val="1"/>
        <w:spacing w:before="50" w:after="0" w:line="480" w:lineRule="atLeast"/>
        <w:rPr>
          <w:sz w:val="24"/>
          <w:szCs w:val="24"/>
        </w:rPr>
      </w:pPr>
      <w:bookmarkStart w:id="3" w:name="_Toc12895215"/>
      <w:bookmarkEnd w:id="1"/>
      <w:r w:rsidRPr="006F5080">
        <w:rPr>
          <w:rFonts w:hint="eastAsia"/>
          <w:sz w:val="24"/>
          <w:szCs w:val="24"/>
        </w:rPr>
        <w:t>二、一般纳税人认定</w:t>
      </w:r>
      <w:bookmarkEnd w:id="3"/>
    </w:p>
    <w:p w14:paraId="1995A10E" w14:textId="6D45A239"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本办法第一条所称加油站</w:t>
      </w:r>
      <w:r w:rsidRPr="007F50A0">
        <w:rPr>
          <w:rFonts w:asciiTheme="minorEastAsia" w:hAnsiTheme="minorEastAsia" w:cs="宋体"/>
          <w:color w:val="000000" w:themeColor="text1"/>
          <w:kern w:val="0"/>
          <w:sz w:val="24"/>
          <w:szCs w:val="24"/>
        </w:rPr>
        <w:t>，一律按照</w:t>
      </w:r>
      <w:r w:rsidR="007F50A0" w:rsidRPr="007F50A0">
        <w:rPr>
          <w:rFonts w:hint="eastAsia"/>
          <w:color w:val="333333"/>
          <w:sz w:val="24"/>
          <w:szCs w:val="24"/>
          <w:shd w:val="clear" w:color="auto" w:fill="FFFFFF"/>
        </w:rPr>
        <w:t>《国家税务总局关于加油站一律按照增值税一般纳税人征税的通知》（</w:t>
      </w:r>
      <w:hyperlink r:id="rId9" w:tgtFrame="_self" w:history="1">
        <w:r w:rsidR="007F50A0" w:rsidRPr="007F50A0">
          <w:rPr>
            <w:rFonts w:hint="eastAsia"/>
            <w:color w:val="6E6E6E"/>
            <w:sz w:val="24"/>
            <w:szCs w:val="24"/>
            <w:u w:val="single"/>
            <w:shd w:val="clear" w:color="auto" w:fill="FFFFFF"/>
          </w:rPr>
          <w:t>国税函〔</w:t>
        </w:r>
        <w:r w:rsidR="007F50A0" w:rsidRPr="007F50A0">
          <w:rPr>
            <w:rFonts w:hint="eastAsia"/>
            <w:color w:val="6E6E6E"/>
            <w:sz w:val="24"/>
            <w:szCs w:val="24"/>
            <w:u w:val="single"/>
            <w:shd w:val="clear" w:color="auto" w:fill="FFFFFF"/>
          </w:rPr>
          <w:t>2001</w:t>
        </w:r>
        <w:r w:rsidR="007F50A0" w:rsidRPr="007F50A0">
          <w:rPr>
            <w:rFonts w:hint="eastAsia"/>
            <w:color w:val="6E6E6E"/>
            <w:sz w:val="24"/>
            <w:szCs w:val="24"/>
            <w:u w:val="single"/>
            <w:shd w:val="clear" w:color="auto" w:fill="FFFFFF"/>
          </w:rPr>
          <w:t>〕</w:t>
        </w:r>
        <w:r w:rsidR="007F50A0" w:rsidRPr="007F50A0">
          <w:rPr>
            <w:rFonts w:hint="eastAsia"/>
            <w:color w:val="6E6E6E"/>
            <w:sz w:val="24"/>
            <w:szCs w:val="24"/>
            <w:u w:val="single"/>
            <w:shd w:val="clear" w:color="auto" w:fill="FFFFFF"/>
          </w:rPr>
          <w:t>882</w:t>
        </w:r>
        <w:r w:rsidR="007F50A0" w:rsidRPr="007F50A0">
          <w:rPr>
            <w:rFonts w:hint="eastAsia"/>
            <w:color w:val="6E6E6E"/>
            <w:sz w:val="24"/>
            <w:szCs w:val="24"/>
            <w:u w:val="single"/>
            <w:shd w:val="clear" w:color="auto" w:fill="FFFFFF"/>
          </w:rPr>
          <w:t>号</w:t>
        </w:r>
      </w:hyperlink>
      <w:r w:rsidR="007F50A0" w:rsidRPr="007F50A0">
        <w:rPr>
          <w:rFonts w:hint="eastAsia"/>
          <w:color w:val="333333"/>
          <w:sz w:val="24"/>
          <w:szCs w:val="24"/>
          <w:shd w:val="clear" w:color="auto" w:fill="FFFFFF"/>
        </w:rPr>
        <w:t>）认定为增值税一般纳税人；并根据《</w:t>
      </w:r>
      <w:hyperlink r:id="rId10" w:tgtFrame="_self" w:history="1">
        <w:r w:rsidR="007F50A0" w:rsidRPr="007F50A0">
          <w:rPr>
            <w:rFonts w:hint="eastAsia"/>
            <w:color w:val="6E6E6E"/>
            <w:sz w:val="24"/>
            <w:szCs w:val="24"/>
            <w:u w:val="single"/>
            <w:shd w:val="clear" w:color="auto" w:fill="FFFFFF"/>
          </w:rPr>
          <w:t>中华人民共和国增值税暂行条例</w:t>
        </w:r>
      </w:hyperlink>
      <w:r w:rsidR="007F50A0" w:rsidRPr="007F50A0">
        <w:rPr>
          <w:rFonts w:hint="eastAsia"/>
          <w:color w:val="333333"/>
          <w:sz w:val="24"/>
          <w:szCs w:val="24"/>
          <w:shd w:val="clear" w:color="auto" w:fill="FFFFFF"/>
        </w:rPr>
        <w:t>》</w:t>
      </w:r>
      <w:r w:rsidRPr="007F50A0">
        <w:rPr>
          <w:rFonts w:asciiTheme="minorEastAsia" w:hAnsiTheme="minorEastAsia" w:cs="宋体"/>
          <w:color w:val="000000" w:themeColor="text1"/>
          <w:kern w:val="0"/>
          <w:sz w:val="24"/>
          <w:szCs w:val="24"/>
        </w:rPr>
        <w:t>有关</w:t>
      </w:r>
      <w:r w:rsidRPr="006F5080">
        <w:rPr>
          <w:rFonts w:asciiTheme="minorEastAsia" w:hAnsiTheme="minorEastAsia" w:cs="宋体"/>
          <w:color w:val="000000" w:themeColor="text1"/>
          <w:kern w:val="0"/>
          <w:sz w:val="24"/>
          <w:szCs w:val="24"/>
        </w:rPr>
        <w:t>规定进行征收管理。</w:t>
      </w:r>
    </w:p>
    <w:p w14:paraId="1C5062AA" w14:textId="726ECA15"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11"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第三条）</w:t>
      </w:r>
    </w:p>
    <w:p w14:paraId="52E5DFA9" w14:textId="77777777" w:rsidR="006F5080" w:rsidRPr="006F5080" w:rsidRDefault="006F5080" w:rsidP="006F5080">
      <w:pPr>
        <w:pStyle w:val="2"/>
        <w:spacing w:before="50" w:after="0" w:line="480" w:lineRule="atLeast"/>
        <w:rPr>
          <w:sz w:val="24"/>
          <w:szCs w:val="24"/>
        </w:rPr>
      </w:pPr>
      <w:bookmarkStart w:id="4" w:name="_Toc12895216"/>
      <w:r w:rsidRPr="006F5080">
        <w:rPr>
          <w:rFonts w:hint="eastAsia"/>
          <w:sz w:val="24"/>
          <w:szCs w:val="24"/>
        </w:rPr>
        <w:t>附注：加油站一律按照增值税一般纳税人征税</w:t>
      </w:r>
      <w:bookmarkEnd w:id="4"/>
    </w:p>
    <w:p w14:paraId="57C2304F" w14:textId="77777777" w:rsidR="006F5080" w:rsidRPr="006F5080" w:rsidRDefault="006F5080" w:rsidP="006F5080">
      <w:pPr>
        <w:spacing w:beforeLines="50" w:before="156" w:line="480" w:lineRule="atLeast"/>
        <w:ind w:firstLineChars="200" w:firstLine="480"/>
        <w:rPr>
          <w:rFonts w:asciiTheme="minorEastAsia" w:hAnsiTheme="minorEastAsia"/>
          <w:color w:val="000000" w:themeColor="text1"/>
          <w:sz w:val="24"/>
          <w:szCs w:val="24"/>
        </w:rPr>
      </w:pPr>
      <w:r w:rsidRPr="006F5080">
        <w:rPr>
          <w:rFonts w:asciiTheme="minorEastAsia" w:hAnsiTheme="minorEastAsia" w:hint="eastAsia"/>
          <w:color w:val="000000" w:themeColor="text1"/>
          <w:sz w:val="24"/>
          <w:szCs w:val="24"/>
          <w:shd w:val="clear" w:color="auto" w:fill="FFFFFF"/>
        </w:rPr>
        <w:t>为了加强对加油站成品油销售的增值税征收管理，经研究决定，从2002年1月1日起，对从事成品油销售的加油站，无论其年应税销售额是否超过180万元，一律按增值税一般纳税人征税。目前按照小规模纳税人征税的加油站，其增值税一般纳税人资格的认定，各地须于2001年12月31日前完成，并于2002年1月15日前将加油站户数报国家税务总局（流转税管理司）。</w:t>
      </w:r>
    </w:p>
    <w:p w14:paraId="4FC41F57" w14:textId="7E83774B"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12" w:history="1">
        <w:r w:rsidRPr="007F50A0">
          <w:rPr>
            <w:rStyle w:val="a4"/>
            <w:rFonts w:asciiTheme="minorEastAsia" w:hAnsiTheme="minorEastAsia" w:hint="eastAsia"/>
            <w:sz w:val="24"/>
            <w:szCs w:val="24"/>
            <w:shd w:val="clear" w:color="auto" w:fill="FFFFFF"/>
          </w:rPr>
          <w:t>国税函[2001]882号</w:t>
        </w:r>
      </w:hyperlink>
      <w:r w:rsidRPr="006F5080">
        <w:rPr>
          <w:rFonts w:asciiTheme="minorEastAsia" w:hAnsiTheme="minorEastAsia" w:hint="eastAsia"/>
          <w:color w:val="000000" w:themeColor="text1"/>
          <w:sz w:val="24"/>
          <w:szCs w:val="24"/>
          <w:shd w:val="clear" w:color="auto" w:fill="FFFFFF"/>
        </w:rPr>
        <w:t>）</w:t>
      </w:r>
    </w:p>
    <w:p w14:paraId="31F321E0" w14:textId="77777777" w:rsidR="006F5080" w:rsidRPr="006F5080" w:rsidRDefault="006F5080" w:rsidP="006F5080">
      <w:pPr>
        <w:pStyle w:val="1"/>
        <w:spacing w:before="50" w:after="0" w:line="480" w:lineRule="atLeast"/>
        <w:rPr>
          <w:sz w:val="24"/>
          <w:szCs w:val="24"/>
        </w:rPr>
      </w:pPr>
      <w:bookmarkStart w:id="5" w:name="_Toc12895217"/>
      <w:r w:rsidRPr="006F5080">
        <w:rPr>
          <w:rFonts w:hint="eastAsia"/>
          <w:sz w:val="24"/>
          <w:szCs w:val="24"/>
        </w:rPr>
        <w:lastRenderedPageBreak/>
        <w:t>三、关于汇总纳税</w:t>
      </w:r>
      <w:bookmarkEnd w:id="5"/>
    </w:p>
    <w:p w14:paraId="57675CF9"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采取统一配送成品油方式设立的非独立核算的加油站，在同一县市的，由总机构汇总缴纳增值税。在同一省内跨县市经营的，是否汇总缴纳增值税，由省级税务机关确定。跨省经营的，是否汇总缴纳增值税，由国家税务总局确定。</w:t>
      </w:r>
    </w:p>
    <w:p w14:paraId="3366AB0D" w14:textId="2815FF63"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13"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第四条第一款）</w:t>
      </w:r>
    </w:p>
    <w:p w14:paraId="04BCEF76"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对统一核算，且经税务机关批准汇总缴纳增值税的成品油销售单位跨县市调配成品油的，不征收增值税。</w:t>
      </w:r>
    </w:p>
    <w:p w14:paraId="5F3B3E42" w14:textId="2C4BBC22"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14"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第四条第二款）</w:t>
      </w:r>
    </w:p>
    <w:p w14:paraId="7ED0533F" w14:textId="77777777" w:rsidR="006F5080" w:rsidRPr="006F5080" w:rsidRDefault="006F5080" w:rsidP="006F5080">
      <w:pPr>
        <w:pStyle w:val="1"/>
        <w:spacing w:before="50" w:after="0" w:line="480" w:lineRule="atLeast"/>
        <w:rPr>
          <w:sz w:val="24"/>
          <w:szCs w:val="24"/>
        </w:rPr>
      </w:pPr>
      <w:bookmarkStart w:id="6" w:name="_Toc12895218"/>
      <w:r w:rsidRPr="006F5080">
        <w:rPr>
          <w:rFonts w:hint="eastAsia"/>
          <w:sz w:val="24"/>
          <w:szCs w:val="24"/>
        </w:rPr>
        <w:t>四、纳税义务时间与发票开具</w:t>
      </w:r>
      <w:bookmarkEnd w:id="6"/>
    </w:p>
    <w:p w14:paraId="19169FF6"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加油站无论以何种结算方式（如收取现金、支票、汇票、加油凭证（簿）、加油卡等）收取售油款，均应征收增值税。加油站销售成品油必须按不同品种分别核算，准确计算应税销售额。加油站以收取加油凭证（簿）、加油卡方式销售成品油，不得向用户开具增值税专用发票。</w:t>
      </w:r>
    </w:p>
    <w:p w14:paraId="14034E73" w14:textId="0E43F55C"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15"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第五条）</w:t>
      </w:r>
    </w:p>
    <w:p w14:paraId="5DE56073"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发售加油卡、加油凭证销售成品油的纳税人（以下简称“预售单位”）在售卖加油卡、加油凭证时，应按预收账款方法作相关账务处理，不征收增值税。预售单位在发售加油卡或加油凭证时可开具普通发票，如购油单位要求开具增值税专用发票，待用户凭卡或加油凭证加油后，根据加油卡或加油凭证回笼纪录，向购油单位开具增值税专用发票。接受加油卡或加油凭证销售成品油的单位与预售单位结算油款时，接受加油卡或加油凭证销售成品油的单位根据实际结算的油款向预售单位开具增值税专用发票。</w:t>
      </w:r>
    </w:p>
    <w:p w14:paraId="43B21157" w14:textId="0BE24263"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16"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第十二条）</w:t>
      </w:r>
    </w:p>
    <w:p w14:paraId="21501039" w14:textId="77777777" w:rsidR="006F5080" w:rsidRPr="006F5080" w:rsidRDefault="006F5080" w:rsidP="006F5080">
      <w:pPr>
        <w:pStyle w:val="1"/>
        <w:spacing w:before="50" w:after="0" w:line="480" w:lineRule="atLeast"/>
        <w:rPr>
          <w:sz w:val="24"/>
          <w:szCs w:val="24"/>
        </w:rPr>
      </w:pPr>
      <w:bookmarkStart w:id="7" w:name="_Toc12895219"/>
      <w:r w:rsidRPr="006F5080">
        <w:rPr>
          <w:rFonts w:hint="eastAsia"/>
          <w:sz w:val="24"/>
          <w:szCs w:val="24"/>
        </w:rPr>
        <w:lastRenderedPageBreak/>
        <w:t>五、销售额</w:t>
      </w:r>
      <w:bookmarkEnd w:id="7"/>
    </w:p>
    <w:p w14:paraId="178B177A"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加油站应税销售额包括当月成品油应税销售额和其他应税货物及劳务的销售额。其中成品油应税销售额的计算公式为：</w:t>
      </w:r>
    </w:p>
    <w:p w14:paraId="4E1062B6"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成品油应税销售额＝（当月全部成品油销售数量－允许扣除的成品油数量）×油品单价</w:t>
      </w:r>
    </w:p>
    <w:p w14:paraId="65A7AD37" w14:textId="6ED41383"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17"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第六条）</w:t>
      </w:r>
    </w:p>
    <w:p w14:paraId="6CAD13A9"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加油站通过加油机加注成品油属于以下情形的，允许在当月成品油销售数量中扣除：(一)经主管税务机关确定的加油站自有车辆自用油；(二)外单位购买的，利用加油站的油库存放的代储油；加油站发生代储油业务时，应凭委托代储协议及委托方购油发票复印件向主管税务机关申报备案。(三)加油站本身倒库油；加油站发生成品油倒库业务时，须提前向主管税务机关报告说明，由主管税务机关派专人实地审核监控。(四)加油站检测用油（回罐油）。上述允许扣除的成品油数量，加油站月终应根据《加油站月销售油品汇总表》统计的数量向主管税务机关申报。</w:t>
      </w:r>
    </w:p>
    <w:p w14:paraId="46D81DD3" w14:textId="3FE08021"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18"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第九条）</w:t>
      </w:r>
    </w:p>
    <w:p w14:paraId="6BFD02FD"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成品油生产、批发单位所在地税务机关应按月将其销售成品油信息通过金税工程网络传递到购油企业所在地主管税务机关。</w:t>
      </w:r>
    </w:p>
    <w:p w14:paraId="64688DDB" w14:textId="4AB6B8C0"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19"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第十条）</w:t>
      </w:r>
    </w:p>
    <w:p w14:paraId="1A1704C5" w14:textId="642F8FCE"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对财务核算不健全的加油站，如已全部安装税控加油机，应按照税控加油机所记录的数据确定计税销售额征收增值税。对未全部安装税控加油机（包括未安装）或税控加油机运行不正常的加油站，主管税务机关应要求其严格执行台账制度，并按月报送《成品油购销存数量明细表》。按月对其成品油库存数量进行盘点，定期联合有关执法部门对其进行检查。主管税务机关应将财务核算不健全的加油站全部纳入增值税纳税评估范围，结合通过金税工程网络所掌握的企业购油信息以及本地区同行业的税负水平等相关信息</w:t>
      </w:r>
      <w:r w:rsidRPr="007F50A0">
        <w:rPr>
          <w:rFonts w:asciiTheme="minorEastAsia" w:hAnsiTheme="minorEastAsia" w:cs="宋体"/>
          <w:color w:val="000000" w:themeColor="text1"/>
          <w:kern w:val="0"/>
          <w:sz w:val="24"/>
          <w:szCs w:val="24"/>
        </w:rPr>
        <w:t>，按照</w:t>
      </w:r>
      <w:r w:rsidR="007F50A0" w:rsidRPr="007F50A0">
        <w:rPr>
          <w:rFonts w:hint="eastAsia"/>
          <w:color w:val="333333"/>
          <w:sz w:val="24"/>
          <w:szCs w:val="24"/>
          <w:shd w:val="clear" w:color="auto" w:fill="FFFFFF"/>
        </w:rPr>
        <w:t>《国家税务总局关于加强商贸企业增值税纳税评估工作的通知》（</w:t>
      </w:r>
      <w:hyperlink r:id="rId20" w:tgtFrame="_self" w:history="1">
        <w:r w:rsidR="007F50A0" w:rsidRPr="007F50A0">
          <w:rPr>
            <w:rFonts w:hint="eastAsia"/>
            <w:color w:val="6E6E6E"/>
            <w:sz w:val="24"/>
            <w:szCs w:val="24"/>
            <w:u w:val="single"/>
            <w:shd w:val="clear" w:color="auto" w:fill="FFFFFF"/>
          </w:rPr>
          <w:t>国税发〔</w:t>
        </w:r>
        <w:r w:rsidR="007F50A0" w:rsidRPr="007F50A0">
          <w:rPr>
            <w:rFonts w:hint="eastAsia"/>
            <w:color w:val="6E6E6E"/>
            <w:sz w:val="24"/>
            <w:szCs w:val="24"/>
            <w:u w:val="single"/>
            <w:shd w:val="clear" w:color="auto" w:fill="FFFFFF"/>
          </w:rPr>
          <w:t>2001</w:t>
        </w:r>
        <w:r w:rsidR="007F50A0" w:rsidRPr="007F50A0">
          <w:rPr>
            <w:rFonts w:hint="eastAsia"/>
            <w:color w:val="6E6E6E"/>
            <w:sz w:val="24"/>
            <w:szCs w:val="24"/>
            <w:u w:val="single"/>
            <w:shd w:val="clear" w:color="auto" w:fill="FFFFFF"/>
          </w:rPr>
          <w:t>〕</w:t>
        </w:r>
        <w:r w:rsidR="007F50A0" w:rsidRPr="007F50A0">
          <w:rPr>
            <w:rFonts w:hint="eastAsia"/>
            <w:color w:val="6E6E6E"/>
            <w:sz w:val="24"/>
            <w:szCs w:val="24"/>
            <w:u w:val="single"/>
            <w:shd w:val="clear" w:color="auto" w:fill="FFFFFF"/>
          </w:rPr>
          <w:t>140</w:t>
        </w:r>
        <w:r w:rsidR="007F50A0" w:rsidRPr="007F50A0">
          <w:rPr>
            <w:rFonts w:hint="eastAsia"/>
            <w:color w:val="6E6E6E"/>
            <w:sz w:val="24"/>
            <w:szCs w:val="24"/>
            <w:u w:val="single"/>
            <w:shd w:val="clear" w:color="auto" w:fill="FFFFFF"/>
          </w:rPr>
          <w:t>号</w:t>
        </w:r>
      </w:hyperlink>
      <w:r w:rsidR="007F50A0" w:rsidRPr="007F50A0">
        <w:rPr>
          <w:rFonts w:hint="eastAsia"/>
          <w:color w:val="333333"/>
          <w:sz w:val="24"/>
          <w:szCs w:val="24"/>
          <w:shd w:val="clear" w:color="auto" w:fill="FFFFFF"/>
        </w:rPr>
        <w:t>）</w:t>
      </w:r>
      <w:r w:rsidRPr="007F50A0">
        <w:rPr>
          <w:rFonts w:asciiTheme="minorEastAsia" w:hAnsiTheme="minorEastAsia" w:cs="宋体"/>
          <w:color w:val="000000" w:themeColor="text1"/>
          <w:kern w:val="0"/>
          <w:sz w:val="24"/>
          <w:szCs w:val="24"/>
        </w:rPr>
        <w:lastRenderedPageBreak/>
        <w:t>的</w:t>
      </w:r>
      <w:r w:rsidRPr="006F5080">
        <w:rPr>
          <w:rFonts w:asciiTheme="minorEastAsia" w:hAnsiTheme="minorEastAsia" w:cs="宋体"/>
          <w:color w:val="000000" w:themeColor="text1"/>
          <w:kern w:val="0"/>
          <w:sz w:val="24"/>
          <w:szCs w:val="24"/>
        </w:rPr>
        <w:t>有关规定进行增值税纳税评估。对纳税评估有异常的，应立即移送稽查部门进行税务稽查。主管税务机关对财务核算不健全的加油站可以根据所掌握的企业实际经营状况，核定征收增值税。财务核算不健全的加油站，主管税务机关应根据其实际经营情况和专用发票使用管理规定限额限量供应专用发票。</w:t>
      </w:r>
    </w:p>
    <w:p w14:paraId="001EB6DD" w14:textId="4B43361A"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21"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第十一条）</w:t>
      </w:r>
    </w:p>
    <w:p w14:paraId="3559DFBA" w14:textId="77777777" w:rsidR="006F5080" w:rsidRPr="006F5080" w:rsidRDefault="006F5080" w:rsidP="006F5080">
      <w:pPr>
        <w:pStyle w:val="1"/>
        <w:spacing w:before="50" w:after="0" w:line="480" w:lineRule="atLeast"/>
        <w:rPr>
          <w:sz w:val="24"/>
          <w:szCs w:val="24"/>
        </w:rPr>
      </w:pPr>
      <w:bookmarkStart w:id="8" w:name="_Toc12895220"/>
      <w:r w:rsidRPr="006F5080">
        <w:rPr>
          <w:rFonts w:hint="eastAsia"/>
          <w:sz w:val="24"/>
          <w:szCs w:val="24"/>
        </w:rPr>
        <w:t>六、台账备查</w:t>
      </w:r>
      <w:bookmarkEnd w:id="8"/>
    </w:p>
    <w:p w14:paraId="53E8B930"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加油站必须按规定建立《加油站日销售油品台账》（附表1，以下简称台账）登记制度。加油站应按日登记台账，按日或交接班次填写，完整、详细地记录当日或本班次的加油情况，月终汇总登记《加油站月销售油品汇总表》（附表2）。台账须按月装订成册，按会计原始账证的期限保管，以备主管税务机关检查。 </w:t>
      </w:r>
    </w:p>
    <w:p w14:paraId="22154DC4" w14:textId="0E8B2A1F"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22"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第七条）</w:t>
      </w:r>
    </w:p>
    <w:p w14:paraId="26551E30" w14:textId="77777777" w:rsidR="006F5080" w:rsidRPr="006F5080" w:rsidRDefault="006F5080" w:rsidP="006F5080">
      <w:pPr>
        <w:pStyle w:val="1"/>
        <w:spacing w:before="50" w:after="0" w:line="480" w:lineRule="atLeast"/>
        <w:rPr>
          <w:sz w:val="24"/>
          <w:szCs w:val="24"/>
        </w:rPr>
      </w:pPr>
      <w:bookmarkStart w:id="9" w:name="_Toc12895221"/>
      <w:r w:rsidRPr="006F5080">
        <w:rPr>
          <w:rFonts w:hint="eastAsia"/>
          <w:sz w:val="24"/>
          <w:szCs w:val="24"/>
        </w:rPr>
        <w:t>七、纳税申报附报资料</w:t>
      </w:r>
      <w:bookmarkEnd w:id="9"/>
    </w:p>
    <w:p w14:paraId="2A73E3F1"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加油站除按月向主管税务机关报送增值税一般纳税人纳税申报办法规定的申报资料外，还应报送以下资料：(一)《加油站____月份加油信息明细表》(附表3)或加油</w:t>
      </w:r>
      <w:proofErr w:type="spellStart"/>
      <w:r w:rsidRPr="006F5080">
        <w:rPr>
          <w:rFonts w:asciiTheme="minorEastAsia" w:hAnsiTheme="minorEastAsia" w:cs="宋体"/>
          <w:color w:val="000000" w:themeColor="text1"/>
          <w:kern w:val="0"/>
          <w:sz w:val="24"/>
          <w:szCs w:val="24"/>
        </w:rPr>
        <w:t>ic</w:t>
      </w:r>
      <w:proofErr w:type="spellEnd"/>
      <w:r w:rsidRPr="006F5080">
        <w:rPr>
          <w:rFonts w:asciiTheme="minorEastAsia" w:hAnsiTheme="minorEastAsia" w:cs="宋体"/>
          <w:color w:val="000000" w:themeColor="text1"/>
          <w:kern w:val="0"/>
          <w:sz w:val="24"/>
          <w:szCs w:val="24"/>
        </w:rPr>
        <w:t>卡；(二)《加油站月销售油品汇总表》；(三)《成品油购销存数量明细表》(附表4)。</w:t>
      </w:r>
    </w:p>
    <w:p w14:paraId="3AFC597C" w14:textId="4D3944E3"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23"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第八条）</w:t>
      </w:r>
    </w:p>
    <w:p w14:paraId="7E01C814" w14:textId="77777777" w:rsidR="006F5080" w:rsidRPr="006F5080" w:rsidRDefault="006F5080" w:rsidP="006F508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F5080">
        <w:rPr>
          <w:rFonts w:asciiTheme="minorEastAsia" w:eastAsiaTheme="minorEastAsia" w:hAnsiTheme="minorEastAsia" w:hint="eastAsia"/>
          <w:color w:val="000000" w:themeColor="text1"/>
        </w:rPr>
        <w:t>成品油零售加油站应严格执行2002年国家税务总局发布的《成品油零售加油站增值税征收管理办法》（</w:t>
      </w:r>
      <w:hyperlink r:id="rId24" w:history="1">
        <w:r w:rsidRPr="006F5080">
          <w:rPr>
            <w:rStyle w:val="a4"/>
            <w:rFonts w:asciiTheme="minorEastAsia" w:eastAsiaTheme="minorEastAsia" w:hAnsiTheme="minorEastAsia" w:hint="eastAsia"/>
            <w:color w:val="000000" w:themeColor="text1"/>
          </w:rPr>
          <w:t>国家税务总局令第2号</w:t>
        </w:r>
      </w:hyperlink>
      <w:r w:rsidRPr="006F5080">
        <w:rPr>
          <w:rFonts w:asciiTheme="minorEastAsia" w:eastAsiaTheme="minorEastAsia" w:hAnsiTheme="minorEastAsia" w:hint="eastAsia"/>
          <w:color w:val="000000" w:themeColor="text1"/>
        </w:rPr>
        <w:t>）的各项规定，建立、登记《加油站日销售油品台账》，在纳税申报期向主管税务机关报送《加油站__月份加油信息明细表》或加油IC卡、《加油站月销售油品汇总表》、《成品油购销存数量明细表》。凡未按规定建立台账、不准确登记台账的，主管税务机关应责令其限期改正，逾期仍不改正的，主管税务机关可根据企业的实际经营状况核定其增值税销售额，按适用税率征税，不得抵扣进项税额。</w:t>
      </w:r>
    </w:p>
    <w:p w14:paraId="2565A5E5" w14:textId="68AEC676"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bookmarkStart w:id="10" w:name="_Hlk52639776"/>
      <w:r w:rsidR="007F50A0">
        <w:rPr>
          <w:rFonts w:asciiTheme="minorEastAsia" w:hAnsiTheme="minorEastAsia"/>
          <w:sz w:val="24"/>
          <w:szCs w:val="24"/>
          <w:shd w:val="clear" w:color="auto" w:fill="FFFFFF"/>
        </w:rPr>
        <w:fldChar w:fldCharType="begin"/>
      </w:r>
      <w:r w:rsidR="007F50A0">
        <w:rPr>
          <w:rFonts w:asciiTheme="minorEastAsia" w:hAnsiTheme="minorEastAsia"/>
          <w:sz w:val="24"/>
          <w:szCs w:val="24"/>
          <w:shd w:val="clear" w:color="auto" w:fill="FFFFFF"/>
        </w:rPr>
        <w:instrText xml:space="preserve"> HYPERLINK "http://ssfb86.com/index/News/detail/newsid/3736.html" </w:instrText>
      </w:r>
      <w:r w:rsidR="007F50A0">
        <w:rPr>
          <w:rFonts w:asciiTheme="minorEastAsia" w:hAnsiTheme="minorEastAsia"/>
          <w:sz w:val="24"/>
          <w:szCs w:val="24"/>
          <w:shd w:val="clear" w:color="auto" w:fill="FFFFFF"/>
        </w:rPr>
      </w:r>
      <w:r w:rsidR="007F50A0">
        <w:rPr>
          <w:rFonts w:asciiTheme="minorEastAsia" w:hAnsiTheme="minorEastAsia"/>
          <w:sz w:val="24"/>
          <w:szCs w:val="24"/>
          <w:shd w:val="clear" w:color="auto" w:fill="FFFFFF"/>
        </w:rPr>
        <w:fldChar w:fldCharType="separate"/>
      </w:r>
      <w:r w:rsidRPr="007F50A0">
        <w:rPr>
          <w:rStyle w:val="a4"/>
          <w:rFonts w:asciiTheme="minorEastAsia" w:hAnsiTheme="minorEastAsia" w:hint="eastAsia"/>
          <w:sz w:val="24"/>
          <w:szCs w:val="24"/>
          <w:shd w:val="clear" w:color="auto" w:fill="FFFFFF"/>
        </w:rPr>
        <w:t>国税发[2003]142号</w:t>
      </w:r>
      <w:r w:rsidR="007F50A0">
        <w:rPr>
          <w:rFonts w:asciiTheme="minorEastAsia" w:hAnsiTheme="minorEastAsia"/>
          <w:sz w:val="24"/>
          <w:szCs w:val="24"/>
          <w:shd w:val="clear" w:color="auto" w:fill="FFFFFF"/>
        </w:rPr>
        <w:fldChar w:fldCharType="end"/>
      </w:r>
      <w:bookmarkEnd w:id="10"/>
      <w:r w:rsidRPr="006F5080">
        <w:rPr>
          <w:rFonts w:asciiTheme="minorEastAsia" w:hAnsiTheme="minorEastAsia" w:hint="eastAsia"/>
          <w:color w:val="000000" w:themeColor="text1"/>
          <w:sz w:val="24"/>
          <w:szCs w:val="24"/>
          <w:shd w:val="clear" w:color="auto" w:fill="FFFFFF"/>
        </w:rPr>
        <w:t>第一条）</w:t>
      </w:r>
    </w:p>
    <w:p w14:paraId="479A1B22" w14:textId="77777777" w:rsidR="006F5080" w:rsidRPr="006F5080" w:rsidRDefault="006F5080" w:rsidP="006F5080">
      <w:pPr>
        <w:pStyle w:val="1"/>
        <w:spacing w:before="50" w:after="0" w:line="480" w:lineRule="atLeast"/>
        <w:rPr>
          <w:sz w:val="24"/>
          <w:szCs w:val="24"/>
        </w:rPr>
      </w:pPr>
      <w:bookmarkStart w:id="11" w:name="_Toc12895222"/>
      <w:r w:rsidRPr="006F5080">
        <w:rPr>
          <w:rFonts w:hint="eastAsia"/>
          <w:sz w:val="24"/>
          <w:szCs w:val="24"/>
        </w:rPr>
        <w:lastRenderedPageBreak/>
        <w:t>八、税务检查</w:t>
      </w:r>
      <w:bookmarkEnd w:id="11"/>
    </w:p>
    <w:p w14:paraId="7E0FB220"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主管税务机关每季度应对所辖加油站运用稽查卡进行1次加油数据读取，并将读出的数据与该加油站的《增值税纳税申报表》、《加油站日销售油品台账》、《加油站月销售油品汇总表》等资料进行核对，同时应对加油站的应扣除油量的确定、成品油购销存等情况进行全面纳税检查。</w:t>
      </w:r>
    </w:p>
    <w:p w14:paraId="3B318078" w14:textId="455E6C61"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25"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第十三条）</w:t>
      </w:r>
    </w:p>
    <w:p w14:paraId="751A4565" w14:textId="77777777" w:rsidR="006F5080" w:rsidRPr="006F5080" w:rsidRDefault="006F5080" w:rsidP="006F5080">
      <w:pPr>
        <w:pStyle w:val="a3"/>
        <w:shd w:val="clear" w:color="auto" w:fill="FFFFFF"/>
        <w:spacing w:beforeLines="50" w:before="156" w:line="480" w:lineRule="atLeast"/>
        <w:ind w:firstLineChars="250" w:firstLine="600"/>
        <w:rPr>
          <w:rFonts w:asciiTheme="minorEastAsia" w:eastAsiaTheme="minorEastAsia" w:hAnsiTheme="minorEastAsia"/>
          <w:color w:val="000000" w:themeColor="text1"/>
        </w:rPr>
      </w:pPr>
      <w:r w:rsidRPr="006F5080">
        <w:rPr>
          <w:rFonts w:asciiTheme="minorEastAsia" w:eastAsiaTheme="minorEastAsia" w:hAnsiTheme="minorEastAsia" w:hint="eastAsia"/>
          <w:color w:val="000000" w:themeColor="text1"/>
        </w:rPr>
        <w:t>主管税务机关要加强对加油站的日常管理，应每月对所辖加油站运用稽查卡进行一次加油数据读取，将读取的数据与加油站所报送的《增值税纳税申报表》、《加油站月销售油品汇总表》等资料进行核对，核对有问题且无正当理由的，应立即移交稽查部门进行税务稽查。稽查部门对加油站的纳税情况要按季进行稽查。</w:t>
      </w:r>
    </w:p>
    <w:p w14:paraId="0BE530AD" w14:textId="430E80E9"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26" w:history="1">
        <w:r w:rsidR="007F50A0" w:rsidRPr="007F50A0">
          <w:rPr>
            <w:rStyle w:val="a4"/>
            <w:rFonts w:asciiTheme="minorEastAsia" w:hAnsiTheme="minorEastAsia" w:hint="eastAsia"/>
            <w:sz w:val="24"/>
            <w:szCs w:val="24"/>
            <w:shd w:val="clear" w:color="auto" w:fill="FFFFFF"/>
          </w:rPr>
          <w:t>国税发[2003]142号</w:t>
        </w:r>
      </w:hyperlink>
      <w:r w:rsidRPr="006F5080">
        <w:rPr>
          <w:rFonts w:asciiTheme="minorEastAsia" w:hAnsiTheme="minorEastAsia" w:hint="eastAsia"/>
          <w:color w:val="000000" w:themeColor="text1"/>
          <w:sz w:val="24"/>
          <w:szCs w:val="24"/>
          <w:shd w:val="clear" w:color="auto" w:fill="FFFFFF"/>
        </w:rPr>
        <w:t>第二条第一款）</w:t>
      </w:r>
    </w:p>
    <w:p w14:paraId="72890F6C" w14:textId="77777777" w:rsidR="006F5080" w:rsidRPr="006F5080" w:rsidRDefault="006F5080" w:rsidP="006F508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F5080">
        <w:rPr>
          <w:rFonts w:asciiTheme="minorEastAsia" w:eastAsiaTheme="minorEastAsia" w:hAnsiTheme="minorEastAsia" w:hint="eastAsia"/>
          <w:color w:val="000000" w:themeColor="text1"/>
        </w:rPr>
        <w:t>对汇总缴纳增值税的一般纳税人，自2004年1月1日起，其下属零售加油站所在地税务机关应每月运用稽查卡进行一次加油数据读取，并负责将采集的数据传送</w:t>
      </w:r>
    </w:p>
    <w:p w14:paraId="0F219361" w14:textId="5CB307DD"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27" w:history="1">
        <w:r w:rsidR="007F50A0" w:rsidRPr="007F50A0">
          <w:rPr>
            <w:rStyle w:val="a4"/>
            <w:rFonts w:asciiTheme="minorEastAsia" w:hAnsiTheme="minorEastAsia" w:hint="eastAsia"/>
            <w:sz w:val="24"/>
            <w:szCs w:val="24"/>
            <w:shd w:val="clear" w:color="auto" w:fill="FFFFFF"/>
          </w:rPr>
          <w:t>国税发[2003]142号</w:t>
        </w:r>
      </w:hyperlink>
      <w:r w:rsidRPr="006F5080">
        <w:rPr>
          <w:rFonts w:asciiTheme="minorEastAsia" w:hAnsiTheme="minorEastAsia" w:hint="eastAsia"/>
          <w:color w:val="000000" w:themeColor="text1"/>
          <w:sz w:val="24"/>
          <w:szCs w:val="24"/>
          <w:shd w:val="clear" w:color="auto" w:fill="FFFFFF"/>
        </w:rPr>
        <w:t>第二条第二款）</w:t>
      </w:r>
    </w:p>
    <w:p w14:paraId="161FAE82" w14:textId="603C2230" w:rsidR="006F5080" w:rsidRPr="006F5080" w:rsidRDefault="006F5080" w:rsidP="006F508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F5080">
        <w:rPr>
          <w:rFonts w:asciiTheme="minorEastAsia" w:eastAsiaTheme="minorEastAsia" w:hAnsiTheme="minorEastAsia" w:hint="eastAsia"/>
          <w:color w:val="000000" w:themeColor="text1"/>
        </w:rPr>
        <w:t>凡不通过已安装税控装置的加油机或税控加油机加油，擅自改变税控装置或破坏铅封，导致机器记录失真或无法记录，造成少缴或不缴应纳税款的，按</w:t>
      </w:r>
      <w:r w:rsidR="007F50A0" w:rsidRPr="007F50A0">
        <w:rPr>
          <w:rFonts w:asciiTheme="minorHAnsi" w:eastAsiaTheme="minorEastAsia" w:hAnsiTheme="minorHAnsi" w:cstheme="minorBidi" w:hint="eastAsia"/>
          <w:color w:val="333333"/>
          <w:kern w:val="2"/>
          <w:sz w:val="21"/>
          <w:szCs w:val="22"/>
          <w:shd w:val="clear" w:color="auto" w:fill="FFFFFF"/>
        </w:rPr>
        <w:t>《</w:t>
      </w:r>
      <w:hyperlink r:id="rId28" w:tgtFrame="_self" w:history="1">
        <w:r w:rsidR="007F50A0" w:rsidRPr="007F50A0">
          <w:rPr>
            <w:rFonts w:asciiTheme="minorHAnsi" w:eastAsiaTheme="minorEastAsia" w:hAnsiTheme="minorHAnsi" w:cstheme="minorBidi" w:hint="eastAsia"/>
            <w:color w:val="6E6E6E"/>
            <w:kern w:val="2"/>
            <w:sz w:val="21"/>
            <w:szCs w:val="22"/>
            <w:u w:val="single"/>
            <w:shd w:val="clear" w:color="auto" w:fill="FFFFFF"/>
          </w:rPr>
          <w:t>税收征管法</w:t>
        </w:r>
      </w:hyperlink>
      <w:r w:rsidR="007F50A0" w:rsidRPr="007F50A0">
        <w:rPr>
          <w:rFonts w:asciiTheme="minorHAnsi" w:eastAsiaTheme="minorEastAsia" w:hAnsiTheme="minorHAnsi" w:cstheme="minorBidi" w:hint="eastAsia"/>
          <w:color w:val="333333"/>
          <w:kern w:val="2"/>
          <w:sz w:val="21"/>
          <w:szCs w:val="22"/>
          <w:shd w:val="clear" w:color="auto" w:fill="FFFFFF"/>
        </w:rPr>
        <w:t>》</w:t>
      </w:r>
      <w:r w:rsidRPr="006F5080">
        <w:rPr>
          <w:rFonts w:asciiTheme="minorEastAsia" w:eastAsiaTheme="minorEastAsia" w:hAnsiTheme="minorEastAsia" w:hint="eastAsia"/>
          <w:color w:val="000000" w:themeColor="text1"/>
        </w:rPr>
        <w:t>有关规定从重处罚。</w:t>
      </w:r>
    </w:p>
    <w:p w14:paraId="58766287" w14:textId="01B5EC80"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29" w:history="1">
        <w:r w:rsidR="007F50A0" w:rsidRPr="007F50A0">
          <w:rPr>
            <w:rStyle w:val="a4"/>
            <w:rFonts w:asciiTheme="minorEastAsia" w:hAnsiTheme="minorEastAsia" w:hint="eastAsia"/>
            <w:sz w:val="24"/>
            <w:szCs w:val="24"/>
            <w:shd w:val="clear" w:color="auto" w:fill="FFFFFF"/>
          </w:rPr>
          <w:t>国税发[2003]142号</w:t>
        </w:r>
      </w:hyperlink>
      <w:r w:rsidRPr="006F5080">
        <w:rPr>
          <w:rFonts w:asciiTheme="minorEastAsia" w:hAnsiTheme="minorEastAsia" w:hint="eastAsia"/>
          <w:color w:val="000000" w:themeColor="text1"/>
          <w:sz w:val="24"/>
          <w:szCs w:val="24"/>
          <w:shd w:val="clear" w:color="auto" w:fill="FFFFFF"/>
        </w:rPr>
        <w:t>第三条）</w:t>
      </w:r>
    </w:p>
    <w:p w14:paraId="50AEC2D0" w14:textId="631B09FE" w:rsidR="006F5080" w:rsidRPr="006F5080" w:rsidRDefault="006F5080" w:rsidP="006F508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F5080">
        <w:rPr>
          <w:rFonts w:asciiTheme="minorEastAsia" w:eastAsiaTheme="minorEastAsia" w:hAnsiTheme="minorEastAsia" w:hint="eastAsia"/>
          <w:color w:val="000000" w:themeColor="text1"/>
        </w:rPr>
        <w:t>主管税务机关应定期配合技术监督部门对所辖加油站的税控加油机进行检查，对采用技术手段擅自修改加油数量的，除严格按照</w:t>
      </w:r>
      <w:r w:rsidR="007F50A0" w:rsidRPr="007F50A0">
        <w:rPr>
          <w:rFonts w:asciiTheme="minorHAnsi" w:eastAsiaTheme="minorEastAsia" w:hAnsiTheme="minorHAnsi" w:cstheme="minorBidi" w:hint="eastAsia"/>
          <w:color w:val="333333"/>
          <w:kern w:val="2"/>
          <w:sz w:val="21"/>
          <w:szCs w:val="22"/>
          <w:shd w:val="clear" w:color="auto" w:fill="FFFFFF"/>
        </w:rPr>
        <w:t>《</w:t>
      </w:r>
      <w:hyperlink r:id="rId30" w:tgtFrame="_self" w:history="1">
        <w:r w:rsidR="007F50A0" w:rsidRPr="007F50A0">
          <w:rPr>
            <w:rFonts w:asciiTheme="minorHAnsi" w:eastAsiaTheme="minorEastAsia" w:hAnsiTheme="minorHAnsi" w:cstheme="minorBidi" w:hint="eastAsia"/>
            <w:color w:val="6E6E6E"/>
            <w:kern w:val="2"/>
            <w:sz w:val="21"/>
            <w:szCs w:val="22"/>
            <w:u w:val="single"/>
            <w:shd w:val="clear" w:color="auto" w:fill="FFFFFF"/>
          </w:rPr>
          <w:t>税收征管法</w:t>
        </w:r>
      </w:hyperlink>
      <w:r w:rsidR="007F50A0" w:rsidRPr="007F50A0">
        <w:rPr>
          <w:rFonts w:asciiTheme="minorHAnsi" w:eastAsiaTheme="minorEastAsia" w:hAnsiTheme="minorHAnsi" w:cstheme="minorBidi" w:hint="eastAsia"/>
          <w:color w:val="333333"/>
          <w:kern w:val="2"/>
          <w:sz w:val="21"/>
          <w:szCs w:val="22"/>
          <w:shd w:val="clear" w:color="auto" w:fill="FFFFFF"/>
        </w:rPr>
        <w:t>》</w:t>
      </w:r>
      <w:r w:rsidRPr="006F5080">
        <w:rPr>
          <w:rFonts w:asciiTheme="minorEastAsia" w:eastAsiaTheme="minorEastAsia" w:hAnsiTheme="minorEastAsia" w:hint="eastAsia"/>
          <w:color w:val="000000" w:themeColor="text1"/>
        </w:rPr>
        <w:t>有关规定进行处罚外，还应提请经贸委等部门吊销其成品油经营许可证。</w:t>
      </w:r>
    </w:p>
    <w:p w14:paraId="5B74835F" w14:textId="0466BBD9"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F5080">
        <w:rPr>
          <w:rFonts w:asciiTheme="minorEastAsia" w:hAnsiTheme="minorEastAsia" w:hint="eastAsia"/>
          <w:color w:val="000000" w:themeColor="text1"/>
          <w:sz w:val="24"/>
          <w:szCs w:val="24"/>
          <w:shd w:val="clear" w:color="auto" w:fill="FFFFFF"/>
        </w:rPr>
        <w:t>（</w:t>
      </w:r>
      <w:hyperlink r:id="rId31" w:history="1">
        <w:r w:rsidR="007F50A0" w:rsidRPr="007F50A0">
          <w:rPr>
            <w:rStyle w:val="a4"/>
            <w:rFonts w:asciiTheme="minorEastAsia" w:hAnsiTheme="minorEastAsia" w:hint="eastAsia"/>
            <w:sz w:val="24"/>
            <w:szCs w:val="24"/>
            <w:shd w:val="clear" w:color="auto" w:fill="FFFFFF"/>
          </w:rPr>
          <w:t>国税发[2003]142号</w:t>
        </w:r>
      </w:hyperlink>
      <w:r w:rsidRPr="006F5080">
        <w:rPr>
          <w:rFonts w:asciiTheme="minorEastAsia" w:hAnsiTheme="minorEastAsia" w:hint="eastAsia"/>
          <w:color w:val="000000" w:themeColor="text1"/>
          <w:sz w:val="24"/>
          <w:szCs w:val="24"/>
          <w:shd w:val="clear" w:color="auto" w:fill="FFFFFF"/>
        </w:rPr>
        <w:t>第四条）</w:t>
      </w:r>
    </w:p>
    <w:p w14:paraId="1FE0BD3D" w14:textId="77777777" w:rsidR="006F5080" w:rsidRPr="006F5080" w:rsidRDefault="006F5080" w:rsidP="006F5080">
      <w:pPr>
        <w:pStyle w:val="1"/>
        <w:spacing w:before="50" w:after="0" w:line="480" w:lineRule="atLeast"/>
        <w:rPr>
          <w:sz w:val="24"/>
          <w:szCs w:val="24"/>
        </w:rPr>
      </w:pPr>
      <w:bookmarkStart w:id="12" w:name="_Toc12895223"/>
      <w:r w:rsidRPr="006F5080">
        <w:rPr>
          <w:rFonts w:hint="eastAsia"/>
          <w:sz w:val="24"/>
          <w:szCs w:val="24"/>
        </w:rPr>
        <w:lastRenderedPageBreak/>
        <w:t>九、执行日期</w:t>
      </w:r>
      <w:bookmarkEnd w:id="12"/>
    </w:p>
    <w:p w14:paraId="0BC88BF4" w14:textId="77777777" w:rsidR="006F5080" w:rsidRPr="006F5080" w:rsidRDefault="006F5080" w:rsidP="006F508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5080">
        <w:rPr>
          <w:rFonts w:asciiTheme="minorEastAsia" w:hAnsiTheme="minorEastAsia" w:cs="宋体"/>
          <w:color w:val="000000" w:themeColor="text1"/>
          <w:kern w:val="0"/>
          <w:sz w:val="24"/>
          <w:szCs w:val="24"/>
        </w:rPr>
        <w:t>本办法自2002年5月1日起执行。</w:t>
      </w:r>
    </w:p>
    <w:p w14:paraId="27ADCB5C" w14:textId="42B0D52D" w:rsidR="006F5080" w:rsidRPr="006F5080" w:rsidRDefault="006F5080" w:rsidP="006F5080">
      <w:pPr>
        <w:widowControl/>
        <w:spacing w:beforeLines="50" w:before="156" w:line="480" w:lineRule="atLeast"/>
        <w:ind w:firstLineChars="200" w:firstLine="480"/>
        <w:jc w:val="right"/>
        <w:rPr>
          <w:rFonts w:asciiTheme="minorEastAsia" w:hAnsiTheme="minorEastAsia"/>
          <w:color w:val="000000" w:themeColor="text1"/>
          <w:sz w:val="24"/>
          <w:szCs w:val="24"/>
        </w:rPr>
      </w:pPr>
      <w:r w:rsidRPr="006F5080">
        <w:rPr>
          <w:rFonts w:asciiTheme="minorEastAsia" w:hAnsiTheme="minorEastAsia" w:hint="eastAsia"/>
          <w:color w:val="000000" w:themeColor="text1"/>
          <w:sz w:val="24"/>
          <w:szCs w:val="24"/>
          <w:shd w:val="clear" w:color="auto" w:fill="FFFFFF"/>
        </w:rPr>
        <w:t>（</w:t>
      </w:r>
      <w:hyperlink r:id="rId32" w:history="1">
        <w:r w:rsidR="007F50A0" w:rsidRPr="007F50A0">
          <w:rPr>
            <w:rStyle w:val="a4"/>
            <w:rFonts w:asciiTheme="minorEastAsia" w:hAnsiTheme="minorEastAsia" w:hint="eastAsia"/>
            <w:sz w:val="24"/>
            <w:szCs w:val="24"/>
            <w:shd w:val="clear" w:color="auto" w:fill="FFFFFF"/>
          </w:rPr>
          <w:t>国家税务总局令第2号</w:t>
        </w:r>
      </w:hyperlink>
      <w:r w:rsidRPr="006F5080">
        <w:rPr>
          <w:rFonts w:asciiTheme="minorEastAsia" w:hAnsiTheme="minorEastAsia" w:hint="eastAsia"/>
          <w:color w:val="000000" w:themeColor="text1"/>
          <w:sz w:val="24"/>
          <w:szCs w:val="24"/>
          <w:shd w:val="clear" w:color="auto" w:fill="FFFFFF"/>
        </w:rPr>
        <w:t>第十四条）</w:t>
      </w:r>
    </w:p>
    <w:p w14:paraId="23C389C5" w14:textId="77777777" w:rsidR="00985B1A" w:rsidRPr="006F5080" w:rsidRDefault="00985B1A" w:rsidP="00672DDC">
      <w:pPr>
        <w:pStyle w:val="a3"/>
        <w:shd w:val="clear" w:color="auto" w:fill="FFFFFF"/>
        <w:spacing w:beforeLines="50" w:before="156" w:line="480" w:lineRule="atLeast"/>
        <w:ind w:firstLine="482"/>
        <w:rPr>
          <w:color w:val="000000" w:themeColor="text1"/>
        </w:rPr>
      </w:pPr>
    </w:p>
    <w:sectPr w:rsidR="00985B1A" w:rsidRPr="006F5080">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38850" w14:textId="77777777" w:rsidR="000A0685" w:rsidRDefault="000A0685" w:rsidP="008A4976">
      <w:r>
        <w:separator/>
      </w:r>
    </w:p>
  </w:endnote>
  <w:endnote w:type="continuationSeparator" w:id="0">
    <w:p w14:paraId="756E6061" w14:textId="77777777" w:rsidR="000A0685" w:rsidRDefault="000A0685"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7394" w14:textId="77777777" w:rsidR="000A0685" w:rsidRDefault="000A0685" w:rsidP="008A4976">
      <w:r>
        <w:separator/>
      </w:r>
    </w:p>
  </w:footnote>
  <w:footnote w:type="continuationSeparator" w:id="0">
    <w:p w14:paraId="2C164359" w14:textId="77777777" w:rsidR="000A0685" w:rsidRDefault="000A0685"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7005"/>
    <w:rsid w:val="0005328E"/>
    <w:rsid w:val="000A0685"/>
    <w:rsid w:val="000B36DC"/>
    <w:rsid w:val="000B70ED"/>
    <w:rsid w:val="000E0142"/>
    <w:rsid w:val="00117105"/>
    <w:rsid w:val="00124157"/>
    <w:rsid w:val="001472B4"/>
    <w:rsid w:val="00156542"/>
    <w:rsid w:val="00180AA2"/>
    <w:rsid w:val="001F0B3D"/>
    <w:rsid w:val="00217C7A"/>
    <w:rsid w:val="00223407"/>
    <w:rsid w:val="002E7F9B"/>
    <w:rsid w:val="00324860"/>
    <w:rsid w:val="003349D4"/>
    <w:rsid w:val="00383FA2"/>
    <w:rsid w:val="003A1160"/>
    <w:rsid w:val="003A70BD"/>
    <w:rsid w:val="003C5CF6"/>
    <w:rsid w:val="00415DD2"/>
    <w:rsid w:val="00417B40"/>
    <w:rsid w:val="00423994"/>
    <w:rsid w:val="0046344C"/>
    <w:rsid w:val="00464480"/>
    <w:rsid w:val="004A3700"/>
    <w:rsid w:val="004B37E5"/>
    <w:rsid w:val="004B74E4"/>
    <w:rsid w:val="004C0F85"/>
    <w:rsid w:val="004D7687"/>
    <w:rsid w:val="00540CBE"/>
    <w:rsid w:val="005463D2"/>
    <w:rsid w:val="00586D71"/>
    <w:rsid w:val="005A4D4B"/>
    <w:rsid w:val="005A7E74"/>
    <w:rsid w:val="005B635E"/>
    <w:rsid w:val="005E1334"/>
    <w:rsid w:val="00605259"/>
    <w:rsid w:val="006135BA"/>
    <w:rsid w:val="0061698A"/>
    <w:rsid w:val="00672DDC"/>
    <w:rsid w:val="006813D8"/>
    <w:rsid w:val="006853B2"/>
    <w:rsid w:val="006942D5"/>
    <w:rsid w:val="006B68E4"/>
    <w:rsid w:val="006F5080"/>
    <w:rsid w:val="00706A2B"/>
    <w:rsid w:val="00726031"/>
    <w:rsid w:val="00733ADE"/>
    <w:rsid w:val="007D7D01"/>
    <w:rsid w:val="007F50A0"/>
    <w:rsid w:val="0080484F"/>
    <w:rsid w:val="00830DFD"/>
    <w:rsid w:val="00831680"/>
    <w:rsid w:val="00877989"/>
    <w:rsid w:val="008A4976"/>
    <w:rsid w:val="008D5C7D"/>
    <w:rsid w:val="009608E3"/>
    <w:rsid w:val="00985B1A"/>
    <w:rsid w:val="00994661"/>
    <w:rsid w:val="009D6656"/>
    <w:rsid w:val="009E080D"/>
    <w:rsid w:val="009E52FE"/>
    <w:rsid w:val="00A13792"/>
    <w:rsid w:val="00AA69CD"/>
    <w:rsid w:val="00AB4C73"/>
    <w:rsid w:val="00AE5056"/>
    <w:rsid w:val="00AF79DC"/>
    <w:rsid w:val="00B13088"/>
    <w:rsid w:val="00B35AF5"/>
    <w:rsid w:val="00BA7E10"/>
    <w:rsid w:val="00BD6687"/>
    <w:rsid w:val="00BF7C9A"/>
    <w:rsid w:val="00C31744"/>
    <w:rsid w:val="00C439C3"/>
    <w:rsid w:val="00C457C7"/>
    <w:rsid w:val="00C65122"/>
    <w:rsid w:val="00CA0606"/>
    <w:rsid w:val="00CA4174"/>
    <w:rsid w:val="00CB0DBB"/>
    <w:rsid w:val="00CD0B97"/>
    <w:rsid w:val="00D25B59"/>
    <w:rsid w:val="00D417A4"/>
    <w:rsid w:val="00D52443"/>
    <w:rsid w:val="00D810B5"/>
    <w:rsid w:val="00D91F27"/>
    <w:rsid w:val="00DA5866"/>
    <w:rsid w:val="00DD257C"/>
    <w:rsid w:val="00E00AD2"/>
    <w:rsid w:val="00E477C0"/>
    <w:rsid w:val="00E7140D"/>
    <w:rsid w:val="00F249DB"/>
    <w:rsid w:val="00F37069"/>
    <w:rsid w:val="00F57C18"/>
    <w:rsid w:val="00FA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7F5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ssfb86.com/index/News/detail/newsid/4090.html" TargetMode="External"/><Relationship Id="rId18" Type="http://schemas.openxmlformats.org/officeDocument/2006/relationships/hyperlink" Target="http://ssfb86.com/index/News/detail/newsid/4090.html" TargetMode="External"/><Relationship Id="rId26" Type="http://schemas.openxmlformats.org/officeDocument/2006/relationships/hyperlink" Target="http://ssfb86.com/index/News/detail/newsid/3736.html" TargetMode="External"/><Relationship Id="rId3" Type="http://schemas.openxmlformats.org/officeDocument/2006/relationships/settings" Target="settings.xml"/><Relationship Id="rId21" Type="http://schemas.openxmlformats.org/officeDocument/2006/relationships/hyperlink" Target="http://ssfb86.com/index/News/detail/newsid/4090.html" TargetMode="External"/><Relationship Id="rId34" Type="http://schemas.openxmlformats.org/officeDocument/2006/relationships/fontTable" Target="fontTable.xml"/><Relationship Id="rId7" Type="http://schemas.openxmlformats.org/officeDocument/2006/relationships/hyperlink" Target="http://ssfb86.com/index/News/detail/newsid/1036.html" TargetMode="External"/><Relationship Id="rId12" Type="http://schemas.openxmlformats.org/officeDocument/2006/relationships/hyperlink" Target="http://ssfb86.com/index/News/detail/newsid/4161.html" TargetMode="External"/><Relationship Id="rId17" Type="http://schemas.openxmlformats.org/officeDocument/2006/relationships/hyperlink" Target="http://ssfb86.com/index/News/detail/newsid/4090.html" TargetMode="External"/><Relationship Id="rId25" Type="http://schemas.openxmlformats.org/officeDocument/2006/relationships/hyperlink" Target="http://ssfb86.com/index/News/detail/newsid/4090.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fb86.com/index/News/detail/newsid/4090.html" TargetMode="External"/><Relationship Id="rId20" Type="http://schemas.openxmlformats.org/officeDocument/2006/relationships/hyperlink" Target="http://ssfb86.com/index/News/detail/newsid/4148.html" TargetMode="External"/><Relationship Id="rId29" Type="http://schemas.openxmlformats.org/officeDocument/2006/relationships/hyperlink" Target="http://ssfb86.com/index/News/detail/newsid/3736.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4090.html" TargetMode="External"/><Relationship Id="rId24" Type="http://schemas.openxmlformats.org/officeDocument/2006/relationships/hyperlink" Target="../../2002&#24180;/4&#26376;/&#22269;&#23478;&#31246;&#21153;&#24635;&#23616;&#20196;&#31532;2&#21495;&#8212;&#8212;&#25104;&#21697;&#27833;&#38646;&#21806;&#21152;&#27833;&#31449;&#22686;&#20540;&#31246;&#24449;&#25910;&#31649;&#29702;&#21150;&#27861;.docx" TargetMode="External"/><Relationship Id="rId32" Type="http://schemas.openxmlformats.org/officeDocument/2006/relationships/hyperlink" Target="http://ssfb86.com/index/News/detail/newsid/4090.html" TargetMode="External"/><Relationship Id="rId5" Type="http://schemas.openxmlformats.org/officeDocument/2006/relationships/footnotes" Target="footnotes.xml"/><Relationship Id="rId15" Type="http://schemas.openxmlformats.org/officeDocument/2006/relationships/hyperlink" Target="http://ssfb86.com/index/News/detail/newsid/4090.html" TargetMode="External"/><Relationship Id="rId23" Type="http://schemas.openxmlformats.org/officeDocument/2006/relationships/hyperlink" Target="http://ssfb86.com/index/News/detail/newsid/4090.html" TargetMode="External"/><Relationship Id="rId28" Type="http://schemas.openxmlformats.org/officeDocument/2006/relationships/hyperlink" Target="http://ssfb86.com/index/News/detail/newsid/1036.html" TargetMode="External"/><Relationship Id="rId10" Type="http://schemas.openxmlformats.org/officeDocument/2006/relationships/hyperlink" Target="http://ssfb86.com/index/News/detail/newsid/465.html" TargetMode="External"/><Relationship Id="rId19" Type="http://schemas.openxmlformats.org/officeDocument/2006/relationships/hyperlink" Target="http://ssfb86.com/index/News/detail/newsid/4090.html" TargetMode="External"/><Relationship Id="rId31" Type="http://schemas.openxmlformats.org/officeDocument/2006/relationships/hyperlink" Target="http://ssfb86.com/index/News/detail/newsid/3736.html" TargetMode="External"/><Relationship Id="rId4" Type="http://schemas.openxmlformats.org/officeDocument/2006/relationships/webSettings" Target="webSettings.xml"/><Relationship Id="rId9" Type="http://schemas.openxmlformats.org/officeDocument/2006/relationships/hyperlink" Target="http://ssfb86.com/index/News/detail/newsid/4161.html" TargetMode="External"/><Relationship Id="rId14" Type="http://schemas.openxmlformats.org/officeDocument/2006/relationships/hyperlink" Target="http://ssfb86.com/index/News/detail/newsid/4090.html" TargetMode="External"/><Relationship Id="rId22" Type="http://schemas.openxmlformats.org/officeDocument/2006/relationships/hyperlink" Target="http://ssfb86.com/index/News/detail/newsid/4090.html" TargetMode="External"/><Relationship Id="rId27" Type="http://schemas.openxmlformats.org/officeDocument/2006/relationships/hyperlink" Target="http://ssfb86.com/index/News/detail/newsid/3736.html" TargetMode="External"/><Relationship Id="rId30" Type="http://schemas.openxmlformats.org/officeDocument/2006/relationships/hyperlink" Target="http://ssfb86.com/index/News/detail/newsid/1036.html"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2020-07-04T02:04:00Z</dcterms:created>
  <dcterms:modified xsi:type="dcterms:W3CDTF">2020-10-03T09:50:00Z</dcterms:modified>
</cp:coreProperties>
</file>