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21D22DBD"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057490">
        <w:rPr>
          <w:color w:val="000000" w:themeColor="text1"/>
          <w:sz w:val="44"/>
          <w:szCs w:val="44"/>
        </w:rPr>
        <w:t>5</w:t>
      </w:r>
      <w:r w:rsidR="008D5C7D" w:rsidRPr="007D7D01">
        <w:rPr>
          <w:color w:val="000000" w:themeColor="text1"/>
          <w:sz w:val="44"/>
          <w:szCs w:val="44"/>
        </w:rPr>
        <w:t xml:space="preserve">  </w:t>
      </w:r>
      <w:r w:rsidR="00057490" w:rsidRPr="00057490">
        <w:rPr>
          <w:rFonts w:hint="eastAsia"/>
          <w:color w:val="000000" w:themeColor="text1"/>
          <w:sz w:val="44"/>
          <w:szCs w:val="44"/>
        </w:rPr>
        <w:t>邮政企业增值税管理</w:t>
      </w:r>
    </w:p>
    <w:p w14:paraId="4438943B" w14:textId="6CBF99A3" w:rsidR="00672DDC" w:rsidRDefault="00672DDC" w:rsidP="00672DDC">
      <w:pPr>
        <w:pStyle w:val="a3"/>
        <w:shd w:val="clear" w:color="auto" w:fill="FFFFFF"/>
        <w:spacing w:beforeLines="50" w:before="156" w:line="480" w:lineRule="atLeast"/>
        <w:ind w:firstLine="482"/>
        <w:rPr>
          <w:color w:val="000000" w:themeColor="text1"/>
        </w:rPr>
      </w:pPr>
    </w:p>
    <w:p w14:paraId="32F7B790" w14:textId="314127F7" w:rsidR="00F04D8E" w:rsidRPr="00C424F1"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为规范营业税改征增值税后邮政企业增值税征收管理，根</w:t>
      </w:r>
      <w:r w:rsidRPr="00C424F1">
        <w:rPr>
          <w:rFonts w:asciiTheme="minorEastAsia" w:hAnsiTheme="minorEastAsia" w:cs="宋体" w:hint="eastAsia"/>
          <w:color w:val="000000" w:themeColor="text1"/>
          <w:kern w:val="0"/>
          <w:sz w:val="24"/>
          <w:szCs w:val="24"/>
        </w:rPr>
        <w:t>据</w:t>
      </w:r>
      <w:r w:rsidR="00C424F1" w:rsidRPr="00C424F1">
        <w:rPr>
          <w:rFonts w:hint="eastAsia"/>
          <w:color w:val="333333"/>
          <w:sz w:val="24"/>
          <w:szCs w:val="24"/>
          <w:shd w:val="clear" w:color="auto" w:fill="FFFFFF"/>
        </w:rPr>
        <w:t>《中华人民共和国增值税暂行条例》（以下称</w:t>
      </w:r>
      <w:hyperlink r:id="rId7" w:tgtFrame="_self" w:history="1">
        <w:r w:rsidR="00C424F1" w:rsidRPr="00C424F1">
          <w:rPr>
            <w:rFonts w:hint="eastAsia"/>
            <w:color w:val="6E6E6E"/>
            <w:sz w:val="24"/>
            <w:szCs w:val="24"/>
            <w:u w:val="single"/>
            <w:shd w:val="clear" w:color="auto" w:fill="FFFFFF"/>
          </w:rPr>
          <w:t>增值税条例</w:t>
        </w:r>
      </w:hyperlink>
      <w:r w:rsidR="00C424F1" w:rsidRPr="00C424F1">
        <w:rPr>
          <w:rFonts w:hint="eastAsia"/>
          <w:color w:val="333333"/>
          <w:sz w:val="24"/>
          <w:szCs w:val="24"/>
          <w:shd w:val="clear" w:color="auto" w:fill="FFFFFF"/>
        </w:rPr>
        <w:t>）、《营业税改征增值税试点实施办法》（以下称</w:t>
      </w:r>
      <w:hyperlink r:id="rId8" w:tgtFrame="_self" w:history="1">
        <w:r w:rsidR="00C424F1" w:rsidRPr="00C424F1">
          <w:rPr>
            <w:rFonts w:hint="eastAsia"/>
            <w:color w:val="6E6E6E"/>
            <w:sz w:val="24"/>
            <w:szCs w:val="24"/>
            <w:u w:val="single"/>
            <w:shd w:val="clear" w:color="auto" w:fill="FFFFFF"/>
          </w:rPr>
          <w:t>试点实施办法</w:t>
        </w:r>
      </w:hyperlink>
      <w:r w:rsidR="00C424F1" w:rsidRPr="00C424F1">
        <w:rPr>
          <w:rFonts w:hint="eastAsia"/>
          <w:color w:val="333333"/>
          <w:sz w:val="24"/>
          <w:szCs w:val="24"/>
          <w:shd w:val="clear" w:color="auto" w:fill="FFFFFF"/>
        </w:rPr>
        <w:t>）</w:t>
      </w:r>
      <w:r w:rsidRPr="00C424F1">
        <w:rPr>
          <w:rFonts w:asciiTheme="minorEastAsia" w:hAnsiTheme="minorEastAsia" w:cs="宋体" w:hint="eastAsia"/>
          <w:color w:val="000000" w:themeColor="text1"/>
          <w:kern w:val="0"/>
          <w:sz w:val="24"/>
          <w:szCs w:val="24"/>
        </w:rPr>
        <w:t>及现行增值税有关规定，制定本办法。</w:t>
      </w:r>
    </w:p>
    <w:p w14:paraId="6449E82D" w14:textId="3DBBD676"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bookmarkStart w:id="0" w:name="_Hlk52640027"/>
      <w:r w:rsidR="00C424F1">
        <w:rPr>
          <w:rFonts w:asciiTheme="minorEastAsia" w:hAnsiTheme="minorEastAsia"/>
          <w:sz w:val="24"/>
          <w:szCs w:val="24"/>
          <w:shd w:val="clear" w:color="auto" w:fill="FFFFFF"/>
        </w:rPr>
        <w:fldChar w:fldCharType="begin"/>
      </w:r>
      <w:r w:rsidR="00C424F1">
        <w:rPr>
          <w:rFonts w:asciiTheme="minorEastAsia" w:hAnsiTheme="minorEastAsia"/>
          <w:sz w:val="24"/>
          <w:szCs w:val="24"/>
          <w:shd w:val="clear" w:color="auto" w:fill="FFFFFF"/>
        </w:rPr>
        <w:instrText xml:space="preserve"> HYPERLINK "http://ssfb86.com/index/News/detail/newsid/1271.html" </w:instrText>
      </w:r>
      <w:r w:rsidR="00C424F1">
        <w:rPr>
          <w:rFonts w:asciiTheme="minorEastAsia" w:hAnsiTheme="minorEastAsia"/>
          <w:sz w:val="24"/>
          <w:szCs w:val="24"/>
          <w:shd w:val="clear" w:color="auto" w:fill="FFFFFF"/>
        </w:rPr>
      </w:r>
      <w:r w:rsidR="00C424F1">
        <w:rPr>
          <w:rFonts w:asciiTheme="minorEastAsia" w:hAnsiTheme="minorEastAsia"/>
          <w:sz w:val="24"/>
          <w:szCs w:val="24"/>
          <w:shd w:val="clear" w:color="auto" w:fill="FFFFFF"/>
        </w:rPr>
        <w:fldChar w:fldCharType="separate"/>
      </w:r>
      <w:r w:rsidRPr="00C424F1">
        <w:rPr>
          <w:rStyle w:val="a4"/>
          <w:rFonts w:asciiTheme="minorEastAsia" w:hAnsiTheme="minorEastAsia" w:hint="eastAsia"/>
          <w:sz w:val="24"/>
          <w:szCs w:val="24"/>
          <w:shd w:val="clear" w:color="auto" w:fill="FFFFFF"/>
        </w:rPr>
        <w:t>国家税务总局公告2014年第5号</w:t>
      </w:r>
      <w:r w:rsidR="00C424F1">
        <w:rPr>
          <w:rFonts w:asciiTheme="minorEastAsia" w:hAnsiTheme="minorEastAsia"/>
          <w:sz w:val="24"/>
          <w:szCs w:val="24"/>
          <w:shd w:val="clear" w:color="auto" w:fill="FFFFFF"/>
        </w:rPr>
        <w:fldChar w:fldCharType="end"/>
      </w:r>
      <w:bookmarkEnd w:id="0"/>
      <w:r w:rsidRPr="00F04D8E">
        <w:rPr>
          <w:rFonts w:asciiTheme="minorEastAsia" w:hAnsiTheme="minorEastAsia" w:hint="eastAsia"/>
          <w:color w:val="000000" w:themeColor="text1"/>
          <w:sz w:val="24"/>
          <w:szCs w:val="24"/>
          <w:shd w:val="clear" w:color="auto" w:fill="FFFFFF"/>
        </w:rPr>
        <w:t>第一条第一款）</w:t>
      </w:r>
    </w:p>
    <w:p w14:paraId="025CF086" w14:textId="77777777" w:rsidR="00F04D8E" w:rsidRPr="00F04D8E" w:rsidRDefault="00F04D8E" w:rsidP="00F04D8E">
      <w:pPr>
        <w:pStyle w:val="1"/>
        <w:spacing w:before="50" w:after="0" w:line="480" w:lineRule="atLeast"/>
        <w:rPr>
          <w:sz w:val="24"/>
          <w:szCs w:val="24"/>
          <w:shd w:val="clear" w:color="auto" w:fill="FFFFFF"/>
        </w:rPr>
      </w:pPr>
      <w:bookmarkStart w:id="1" w:name="_Toc12895331"/>
      <w:r w:rsidRPr="00F04D8E">
        <w:rPr>
          <w:rFonts w:hint="eastAsia"/>
          <w:sz w:val="24"/>
          <w:szCs w:val="24"/>
          <w:shd w:val="clear" w:color="auto" w:fill="FFFFFF"/>
        </w:rPr>
        <w:t>一、适用范围</w:t>
      </w:r>
      <w:bookmarkEnd w:id="1"/>
    </w:p>
    <w:p w14:paraId="428406EB"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经省、自治区、直辖市或者计划单列市财政厅（局）和国家税务局批准，可以汇总申报缴纳增值税的邮政企业，适用本办法。</w:t>
      </w:r>
    </w:p>
    <w:p w14:paraId="5E0A2EBA" w14:textId="1BC48669"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9"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第二条）</w:t>
      </w:r>
    </w:p>
    <w:p w14:paraId="47AF7FBE"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邮政企业，是指中国邮政集团公司所属提供邮政服务的企业。</w:t>
      </w:r>
    </w:p>
    <w:p w14:paraId="32C484A0" w14:textId="63C60489"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0"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第一条第二款）</w:t>
      </w:r>
    </w:p>
    <w:p w14:paraId="3820B77B" w14:textId="77777777" w:rsidR="00F04D8E" w:rsidRPr="00F04D8E" w:rsidRDefault="00F04D8E" w:rsidP="00F04D8E">
      <w:pPr>
        <w:pStyle w:val="1"/>
        <w:spacing w:before="50" w:after="0" w:line="480" w:lineRule="atLeast"/>
        <w:rPr>
          <w:sz w:val="24"/>
          <w:szCs w:val="24"/>
        </w:rPr>
      </w:pPr>
      <w:bookmarkStart w:id="2" w:name="_Toc12895332"/>
      <w:r w:rsidRPr="00F04D8E">
        <w:rPr>
          <w:rFonts w:hint="eastAsia"/>
          <w:sz w:val="24"/>
          <w:szCs w:val="24"/>
        </w:rPr>
        <w:t>二、政策内容</w:t>
      </w:r>
      <w:bookmarkEnd w:id="2"/>
    </w:p>
    <w:p w14:paraId="5A2BBCDA" w14:textId="77777777" w:rsidR="00F04D8E" w:rsidRPr="00F04D8E" w:rsidRDefault="00F04D8E" w:rsidP="00F04D8E">
      <w:pPr>
        <w:pStyle w:val="2"/>
        <w:spacing w:before="50" w:after="0" w:line="480" w:lineRule="atLeast"/>
        <w:rPr>
          <w:sz w:val="24"/>
          <w:szCs w:val="24"/>
        </w:rPr>
      </w:pPr>
      <w:bookmarkStart w:id="3" w:name="_Toc12895333"/>
      <w:r w:rsidRPr="00F04D8E">
        <w:rPr>
          <w:rFonts w:hint="eastAsia"/>
          <w:sz w:val="24"/>
          <w:szCs w:val="24"/>
        </w:rPr>
        <w:t>（一）总机构</w:t>
      </w:r>
      <w:bookmarkEnd w:id="3"/>
    </w:p>
    <w:p w14:paraId="5AF8E8DC"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各省、自治区、直辖市和计划单列市邮政企业（以下称总机构）应当汇总计算总机构及其所属邮政企业（以下称分支机构）提供邮政服务的增值税应纳税额，抵减分支机构提供邮政服务已缴纳（包括预缴和查补，下同）的增值税额后，向主管税务机关申报纳税。</w:t>
      </w:r>
    </w:p>
    <w:p w14:paraId="1A0A2ED2" w14:textId="6EA18D22"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1"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第三条第一款）</w:t>
      </w:r>
    </w:p>
    <w:p w14:paraId="13B2DB2D"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总机构发生除邮政服务以外的增值税应税行为，按照增值税条例、试点实施办法及相关规定就地申报纳税。</w:t>
      </w:r>
    </w:p>
    <w:p w14:paraId="4F8EF941" w14:textId="743E5174"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2"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第三条第二款）</w:t>
      </w:r>
    </w:p>
    <w:p w14:paraId="3AFD1D63" w14:textId="77777777" w:rsidR="00F04D8E" w:rsidRPr="00F04D8E" w:rsidRDefault="00F04D8E" w:rsidP="00F04D8E">
      <w:pPr>
        <w:pStyle w:val="3"/>
        <w:spacing w:before="50" w:after="0" w:line="480" w:lineRule="atLeast"/>
        <w:rPr>
          <w:sz w:val="24"/>
          <w:szCs w:val="24"/>
        </w:rPr>
      </w:pPr>
      <w:bookmarkStart w:id="4" w:name="_Toc12895334"/>
      <w:r w:rsidRPr="00F04D8E">
        <w:rPr>
          <w:rFonts w:hint="eastAsia"/>
          <w:sz w:val="24"/>
          <w:szCs w:val="24"/>
        </w:rPr>
        <w:lastRenderedPageBreak/>
        <w:t>1.</w:t>
      </w:r>
      <w:r w:rsidRPr="00F04D8E">
        <w:rPr>
          <w:rFonts w:hint="eastAsia"/>
          <w:sz w:val="24"/>
          <w:szCs w:val="24"/>
        </w:rPr>
        <w:t>总机构汇总的销售额</w:t>
      </w:r>
      <w:bookmarkEnd w:id="4"/>
    </w:p>
    <w:p w14:paraId="1B5D3296"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为总机构及其分支机构提供邮政服务的销售额。</w:t>
      </w:r>
    </w:p>
    <w:p w14:paraId="616A733D" w14:textId="2A033BD4"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3"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第四条）</w:t>
      </w:r>
    </w:p>
    <w:p w14:paraId="4BD3E7B1" w14:textId="77777777" w:rsidR="00F04D8E" w:rsidRPr="00F04D8E" w:rsidRDefault="00F04D8E" w:rsidP="00F04D8E">
      <w:pPr>
        <w:pStyle w:val="3"/>
        <w:spacing w:before="50" w:after="0" w:line="480" w:lineRule="atLeast"/>
        <w:rPr>
          <w:sz w:val="24"/>
          <w:szCs w:val="24"/>
        </w:rPr>
      </w:pPr>
      <w:bookmarkStart w:id="5" w:name="_Toc12895335"/>
      <w:r w:rsidRPr="00F04D8E">
        <w:rPr>
          <w:rFonts w:hint="eastAsia"/>
          <w:sz w:val="24"/>
          <w:szCs w:val="24"/>
        </w:rPr>
        <w:t>2.</w:t>
      </w:r>
      <w:r w:rsidRPr="00F04D8E">
        <w:rPr>
          <w:rFonts w:hint="eastAsia"/>
          <w:sz w:val="24"/>
          <w:szCs w:val="24"/>
        </w:rPr>
        <w:t>总机构汇总的销项税额</w:t>
      </w:r>
      <w:bookmarkEnd w:id="5"/>
    </w:p>
    <w:p w14:paraId="1B6C46CC"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按照本办法第四条规定的销售额和增值税适用税率计算。</w:t>
      </w:r>
    </w:p>
    <w:p w14:paraId="23E4BD41" w14:textId="7B461AE1"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4"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第五条）</w:t>
      </w:r>
    </w:p>
    <w:p w14:paraId="193D227C" w14:textId="77777777" w:rsidR="00F04D8E" w:rsidRPr="00F04D8E" w:rsidRDefault="00F04D8E" w:rsidP="00F04D8E">
      <w:pPr>
        <w:pStyle w:val="3"/>
        <w:spacing w:before="50" w:after="0" w:line="480" w:lineRule="atLeast"/>
        <w:rPr>
          <w:sz w:val="24"/>
          <w:szCs w:val="24"/>
        </w:rPr>
      </w:pPr>
      <w:bookmarkStart w:id="6" w:name="_Toc12895336"/>
      <w:r w:rsidRPr="00F04D8E">
        <w:rPr>
          <w:rFonts w:hint="eastAsia"/>
          <w:sz w:val="24"/>
          <w:szCs w:val="24"/>
        </w:rPr>
        <w:t>3.</w:t>
      </w:r>
      <w:r w:rsidRPr="00F04D8E">
        <w:rPr>
          <w:rFonts w:hint="eastAsia"/>
          <w:sz w:val="24"/>
          <w:szCs w:val="24"/>
        </w:rPr>
        <w:t>总机构汇总的进项税额</w:t>
      </w:r>
      <w:bookmarkEnd w:id="6"/>
    </w:p>
    <w:p w14:paraId="5960A78B"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指总机构及其分支机构提供邮政服务而购进货物、接受加工修理修配劳务和应税服务，支付或者负担的增值税额。</w:t>
      </w:r>
    </w:p>
    <w:p w14:paraId="6C0857AF" w14:textId="38C2ABED"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5"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第六条第一款）</w:t>
      </w:r>
    </w:p>
    <w:p w14:paraId="1718CCC3"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总机构及其分支机构取得的与邮政服务相关的固定资产、专利技术、非专利技术、商誉、商标、著作权、有形动产租赁的进项税额，由总机构汇总缴纳增值税时抵扣。</w:t>
      </w:r>
    </w:p>
    <w:p w14:paraId="2D7415CE" w14:textId="04873599"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6"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第六条第二款）</w:t>
      </w:r>
    </w:p>
    <w:p w14:paraId="597545D1"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总机构及其分支机构用于邮政服务以外的进项税额不得汇总。</w:t>
      </w:r>
    </w:p>
    <w:p w14:paraId="030455CB" w14:textId="148A6124"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7"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第六条第三款）</w:t>
      </w:r>
    </w:p>
    <w:p w14:paraId="585C11AE"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总机构及其分支机构用于提供邮政服务的进项税额与不得汇总的进项税额无法准确划分的，按照试点实施办法第二十六条确定的原则执行。</w:t>
      </w:r>
    </w:p>
    <w:p w14:paraId="5F1F1E3F" w14:textId="4A796F65"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8"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第七条）</w:t>
      </w:r>
    </w:p>
    <w:p w14:paraId="47D84628" w14:textId="77777777" w:rsidR="00F04D8E" w:rsidRPr="00F04D8E" w:rsidRDefault="00F04D8E" w:rsidP="00F04D8E">
      <w:pPr>
        <w:pStyle w:val="3"/>
        <w:spacing w:before="50" w:after="0" w:line="480" w:lineRule="atLeast"/>
        <w:rPr>
          <w:sz w:val="24"/>
          <w:szCs w:val="24"/>
        </w:rPr>
      </w:pPr>
      <w:bookmarkStart w:id="7" w:name="_Toc12895337"/>
      <w:r w:rsidRPr="00F04D8E">
        <w:rPr>
          <w:rFonts w:hint="eastAsia"/>
          <w:sz w:val="24"/>
          <w:szCs w:val="24"/>
        </w:rPr>
        <w:t>3.</w:t>
      </w:r>
      <w:r w:rsidRPr="00F04D8E">
        <w:rPr>
          <w:rFonts w:hint="eastAsia"/>
          <w:sz w:val="24"/>
          <w:szCs w:val="24"/>
        </w:rPr>
        <w:t>总机构的纳税期限</w:t>
      </w:r>
      <w:bookmarkEnd w:id="7"/>
    </w:p>
    <w:p w14:paraId="4F083C41"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为一个季度。</w:t>
      </w:r>
    </w:p>
    <w:p w14:paraId="09FC6DA5" w14:textId="0C8A659C"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19"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第十条）</w:t>
      </w:r>
    </w:p>
    <w:p w14:paraId="3407193A"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lastRenderedPageBreak/>
        <w:t>总机构应当依据《邮政企业分支机构增值税汇总纳税信息传递单》，汇总计算当期提供邮政服务的应纳税额，抵减分支机构提供邮政服务当期已缴纳的增值税额后，向主管税务机关申报纳税。抵减不完的，可以结转下期继续抵减。计算公式为：</w:t>
      </w:r>
    </w:p>
    <w:p w14:paraId="0F5F8816"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总机构当</w:t>
      </w:r>
      <w:proofErr w:type="gramStart"/>
      <w:r w:rsidRPr="00F04D8E">
        <w:rPr>
          <w:rFonts w:asciiTheme="minorEastAsia" w:hAnsiTheme="minorEastAsia" w:cs="宋体" w:hint="eastAsia"/>
          <w:color w:val="000000" w:themeColor="text1"/>
          <w:kern w:val="0"/>
          <w:sz w:val="24"/>
          <w:szCs w:val="24"/>
        </w:rPr>
        <w:t>期汇总</w:t>
      </w:r>
      <w:proofErr w:type="gramEnd"/>
      <w:r w:rsidRPr="00F04D8E">
        <w:rPr>
          <w:rFonts w:asciiTheme="minorEastAsia" w:hAnsiTheme="minorEastAsia" w:cs="宋体" w:hint="eastAsia"/>
          <w:color w:val="000000" w:themeColor="text1"/>
          <w:kern w:val="0"/>
          <w:sz w:val="24"/>
          <w:szCs w:val="24"/>
        </w:rPr>
        <w:t>应纳税额＝当</w:t>
      </w:r>
      <w:proofErr w:type="gramStart"/>
      <w:r w:rsidRPr="00F04D8E">
        <w:rPr>
          <w:rFonts w:asciiTheme="minorEastAsia" w:hAnsiTheme="minorEastAsia" w:cs="宋体" w:hint="eastAsia"/>
          <w:color w:val="000000" w:themeColor="text1"/>
          <w:kern w:val="0"/>
          <w:sz w:val="24"/>
          <w:szCs w:val="24"/>
        </w:rPr>
        <w:t>期汇总</w:t>
      </w:r>
      <w:proofErr w:type="gramEnd"/>
      <w:r w:rsidRPr="00F04D8E">
        <w:rPr>
          <w:rFonts w:asciiTheme="minorEastAsia" w:hAnsiTheme="minorEastAsia" w:cs="宋体" w:hint="eastAsia"/>
          <w:color w:val="000000" w:themeColor="text1"/>
          <w:kern w:val="0"/>
          <w:sz w:val="24"/>
          <w:szCs w:val="24"/>
        </w:rPr>
        <w:t>销项税额－当</w:t>
      </w:r>
      <w:proofErr w:type="gramStart"/>
      <w:r w:rsidRPr="00F04D8E">
        <w:rPr>
          <w:rFonts w:asciiTheme="minorEastAsia" w:hAnsiTheme="minorEastAsia" w:cs="宋体" w:hint="eastAsia"/>
          <w:color w:val="000000" w:themeColor="text1"/>
          <w:kern w:val="0"/>
          <w:sz w:val="24"/>
          <w:szCs w:val="24"/>
        </w:rPr>
        <w:t>期汇总</w:t>
      </w:r>
      <w:proofErr w:type="gramEnd"/>
      <w:r w:rsidRPr="00F04D8E">
        <w:rPr>
          <w:rFonts w:asciiTheme="minorEastAsia" w:hAnsiTheme="minorEastAsia" w:cs="宋体" w:hint="eastAsia"/>
          <w:color w:val="000000" w:themeColor="text1"/>
          <w:kern w:val="0"/>
          <w:sz w:val="24"/>
          <w:szCs w:val="24"/>
        </w:rPr>
        <w:t>的允许抵扣的进项税额</w:t>
      </w:r>
    </w:p>
    <w:p w14:paraId="5EF46871"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总机构当期应补（退）税额＝总机构当</w:t>
      </w:r>
      <w:proofErr w:type="gramStart"/>
      <w:r w:rsidRPr="00F04D8E">
        <w:rPr>
          <w:rFonts w:asciiTheme="minorEastAsia" w:hAnsiTheme="minorEastAsia" w:cs="宋体" w:hint="eastAsia"/>
          <w:color w:val="000000" w:themeColor="text1"/>
          <w:kern w:val="0"/>
          <w:sz w:val="24"/>
          <w:szCs w:val="24"/>
        </w:rPr>
        <w:t>期汇总</w:t>
      </w:r>
      <w:proofErr w:type="gramEnd"/>
      <w:r w:rsidRPr="00F04D8E">
        <w:rPr>
          <w:rFonts w:asciiTheme="minorEastAsia" w:hAnsiTheme="minorEastAsia" w:cs="宋体" w:hint="eastAsia"/>
          <w:color w:val="000000" w:themeColor="text1"/>
          <w:kern w:val="0"/>
          <w:sz w:val="24"/>
          <w:szCs w:val="24"/>
        </w:rPr>
        <w:t>应纳税额－分支机构当期已缴纳税额</w:t>
      </w:r>
    </w:p>
    <w:p w14:paraId="61579695" w14:textId="5E1682F2"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0"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第十一条）</w:t>
      </w:r>
    </w:p>
    <w:p w14:paraId="7838C2AB" w14:textId="77777777" w:rsidR="00F04D8E" w:rsidRPr="00F04D8E" w:rsidRDefault="00F04D8E" w:rsidP="00F04D8E">
      <w:pPr>
        <w:pStyle w:val="2"/>
        <w:spacing w:before="50" w:after="0" w:line="480" w:lineRule="atLeast"/>
        <w:rPr>
          <w:sz w:val="24"/>
          <w:szCs w:val="24"/>
        </w:rPr>
      </w:pPr>
      <w:bookmarkStart w:id="8" w:name="_Toc12895338"/>
      <w:r w:rsidRPr="00F04D8E">
        <w:rPr>
          <w:rFonts w:hint="eastAsia"/>
          <w:sz w:val="24"/>
          <w:szCs w:val="24"/>
        </w:rPr>
        <w:t>（二）分支机构</w:t>
      </w:r>
      <w:bookmarkEnd w:id="8"/>
    </w:p>
    <w:p w14:paraId="34911395" w14:textId="77777777" w:rsidR="00F04D8E" w:rsidRPr="00F04D8E" w:rsidRDefault="00F04D8E" w:rsidP="00F04D8E">
      <w:pPr>
        <w:pStyle w:val="3"/>
        <w:spacing w:before="50" w:after="0" w:line="480" w:lineRule="atLeast"/>
        <w:rPr>
          <w:sz w:val="24"/>
          <w:szCs w:val="24"/>
        </w:rPr>
      </w:pPr>
      <w:bookmarkStart w:id="9" w:name="_Toc12895339"/>
      <w:r w:rsidRPr="00F04D8E">
        <w:rPr>
          <w:rFonts w:hint="eastAsia"/>
          <w:sz w:val="24"/>
          <w:szCs w:val="24"/>
        </w:rPr>
        <w:t>1.</w:t>
      </w:r>
      <w:r w:rsidRPr="00F04D8E">
        <w:rPr>
          <w:rFonts w:hint="eastAsia"/>
          <w:sz w:val="24"/>
          <w:szCs w:val="24"/>
        </w:rPr>
        <w:t>分支机构提供邮政服务</w:t>
      </w:r>
      <w:bookmarkEnd w:id="9"/>
    </w:p>
    <w:p w14:paraId="3CA8FF8A"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按照销售额和</w:t>
      </w:r>
      <w:proofErr w:type="gramStart"/>
      <w:r w:rsidRPr="00F04D8E">
        <w:rPr>
          <w:rFonts w:asciiTheme="minorEastAsia" w:hAnsiTheme="minorEastAsia" w:cs="宋体" w:hint="eastAsia"/>
          <w:color w:val="000000" w:themeColor="text1"/>
          <w:kern w:val="0"/>
          <w:sz w:val="24"/>
          <w:szCs w:val="24"/>
        </w:rPr>
        <w:t>预征率</w:t>
      </w:r>
      <w:proofErr w:type="gramEnd"/>
      <w:r w:rsidRPr="00F04D8E">
        <w:rPr>
          <w:rFonts w:asciiTheme="minorEastAsia" w:hAnsiTheme="minorEastAsia" w:cs="宋体" w:hint="eastAsia"/>
          <w:color w:val="000000" w:themeColor="text1"/>
          <w:kern w:val="0"/>
          <w:sz w:val="24"/>
          <w:szCs w:val="24"/>
        </w:rPr>
        <w:t>计算应预缴税额，按月向主管税务机关申报纳税，不得抵扣进项税额。计算公式为：</w:t>
      </w:r>
    </w:p>
    <w:p w14:paraId="3A6024C1"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应预缴税额=（销售额+预订款）×预征率</w:t>
      </w:r>
    </w:p>
    <w:p w14:paraId="156ECEDE" w14:textId="734FB24B"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1"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第八条第一款）</w:t>
      </w:r>
    </w:p>
    <w:p w14:paraId="5702CA74"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销售额为分支机构对外（包括向邮政服务接受方和本总、分支机构外的其他邮政企业）提供邮政服务取得的收入；预订款为分支机构向邮政服务接受方收取的预订款。</w:t>
      </w:r>
    </w:p>
    <w:p w14:paraId="211D99A3" w14:textId="69FE0E0D"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2"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第八条第二款）</w:t>
      </w:r>
    </w:p>
    <w:p w14:paraId="079BBF5C"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销售额不包括免税项目的销售额；预订款不包括免税项目的预订款。</w:t>
      </w:r>
    </w:p>
    <w:p w14:paraId="7D08E849" w14:textId="6A8880D6"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3"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第八条第三款）</w:t>
      </w:r>
    </w:p>
    <w:p w14:paraId="59C43DBE"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分支机构应按月将提供邮政服务的销售额、预订款、进项税额和已缴纳增值税额归集汇总，填写《邮政企业分支机构增值税汇总纳税信息传递单》（见附件），报送主管税务机关签章确认后，于次月10日前传递给总机构。</w:t>
      </w:r>
    </w:p>
    <w:p w14:paraId="58817A5D" w14:textId="5E67129D"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lastRenderedPageBreak/>
        <w:t>（</w:t>
      </w:r>
      <w:hyperlink r:id="rId24"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第九条第一款）</w:t>
      </w:r>
    </w:p>
    <w:p w14:paraId="7A40218A"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汇总的销售额包括免税项目的销售额。</w:t>
      </w:r>
    </w:p>
    <w:p w14:paraId="0953B095" w14:textId="6CDF988E"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5"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第九条第二款）</w:t>
      </w:r>
    </w:p>
    <w:p w14:paraId="6AAA0AEF"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汇总的进项税额包括用于免税项目的进项税额。</w:t>
      </w:r>
    </w:p>
    <w:p w14:paraId="1872659E" w14:textId="4585D3BA"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6"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第九条第三款）</w:t>
      </w:r>
    </w:p>
    <w:p w14:paraId="77B11C5C" w14:textId="77777777" w:rsidR="00F04D8E" w:rsidRPr="00F04D8E" w:rsidRDefault="00F04D8E" w:rsidP="00F04D8E">
      <w:pPr>
        <w:pStyle w:val="3"/>
        <w:spacing w:before="50" w:after="0" w:line="480" w:lineRule="atLeast"/>
        <w:rPr>
          <w:sz w:val="24"/>
          <w:szCs w:val="24"/>
        </w:rPr>
      </w:pPr>
      <w:bookmarkStart w:id="10" w:name="_Toc12895340"/>
      <w:r w:rsidRPr="00F04D8E">
        <w:rPr>
          <w:rFonts w:hint="eastAsia"/>
          <w:sz w:val="24"/>
          <w:szCs w:val="24"/>
        </w:rPr>
        <w:t>2.</w:t>
      </w:r>
      <w:r w:rsidRPr="00F04D8E">
        <w:rPr>
          <w:rFonts w:hint="eastAsia"/>
          <w:sz w:val="24"/>
          <w:szCs w:val="24"/>
        </w:rPr>
        <w:t>分支机构发生除邮政服务以外的增值税应税行为</w:t>
      </w:r>
      <w:bookmarkEnd w:id="10"/>
    </w:p>
    <w:p w14:paraId="6099FDF1"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按照增值税条例、试点实施办法及相关规定就地申报纳税。</w:t>
      </w:r>
    </w:p>
    <w:p w14:paraId="0EAFDE98" w14:textId="1C5C2AB1"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7"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第八条第四款）</w:t>
      </w:r>
    </w:p>
    <w:p w14:paraId="0BFB311B" w14:textId="77777777" w:rsidR="00F04D8E" w:rsidRPr="00F04D8E" w:rsidRDefault="00F04D8E" w:rsidP="00F04D8E">
      <w:pPr>
        <w:pStyle w:val="3"/>
        <w:spacing w:before="50" w:after="0" w:line="480" w:lineRule="atLeast"/>
        <w:rPr>
          <w:sz w:val="24"/>
          <w:szCs w:val="24"/>
        </w:rPr>
      </w:pPr>
      <w:bookmarkStart w:id="11" w:name="_Toc12895341"/>
      <w:r w:rsidRPr="00F04D8E">
        <w:rPr>
          <w:rFonts w:hint="eastAsia"/>
          <w:sz w:val="24"/>
          <w:szCs w:val="24"/>
        </w:rPr>
        <w:t>附注：邮政企业为中国邮政速递物流股份有限公司及其所属机构代办速递物流类业务，</w:t>
      </w:r>
      <w:bookmarkEnd w:id="11"/>
    </w:p>
    <w:p w14:paraId="3E97A204"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从寄件人取得的收入，由总机构并入汇总的销售额计算缴纳增值税。</w:t>
      </w:r>
    </w:p>
    <w:p w14:paraId="5A2F38B0" w14:textId="723E1E8F"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8"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第十二条第一款）</w:t>
      </w:r>
    </w:p>
    <w:p w14:paraId="609E8B7B"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分支机构收取的上述收入</w:t>
      </w:r>
      <w:proofErr w:type="gramStart"/>
      <w:r w:rsidRPr="00F04D8E">
        <w:rPr>
          <w:rFonts w:asciiTheme="minorEastAsia" w:hAnsiTheme="minorEastAsia" w:cs="宋体" w:hint="eastAsia"/>
          <w:color w:val="000000" w:themeColor="text1"/>
          <w:kern w:val="0"/>
          <w:sz w:val="24"/>
          <w:szCs w:val="24"/>
        </w:rPr>
        <w:t>不</w:t>
      </w:r>
      <w:proofErr w:type="gramEnd"/>
      <w:r w:rsidRPr="00F04D8E">
        <w:rPr>
          <w:rFonts w:asciiTheme="minorEastAsia" w:hAnsiTheme="minorEastAsia" w:cs="宋体" w:hint="eastAsia"/>
          <w:color w:val="000000" w:themeColor="text1"/>
          <w:kern w:val="0"/>
          <w:sz w:val="24"/>
          <w:szCs w:val="24"/>
        </w:rPr>
        <w:t>预缴税款。</w:t>
      </w:r>
    </w:p>
    <w:p w14:paraId="3D59DBD4" w14:textId="2B83951A"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29"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第十二条第二款）</w:t>
      </w:r>
    </w:p>
    <w:p w14:paraId="3B532E4E"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寄件人索取增值税专用发票的，邮政企业应向寄件人开具增值税专用发票。</w:t>
      </w:r>
    </w:p>
    <w:p w14:paraId="01243B75" w14:textId="505ADFE6"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0"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第十二条第三款）</w:t>
      </w:r>
    </w:p>
    <w:p w14:paraId="6609B82A" w14:textId="77777777" w:rsidR="00F04D8E" w:rsidRPr="00F04D8E" w:rsidRDefault="00F04D8E" w:rsidP="00F04D8E">
      <w:pPr>
        <w:pStyle w:val="1"/>
        <w:spacing w:before="50" w:after="0" w:line="480" w:lineRule="atLeast"/>
        <w:rPr>
          <w:sz w:val="24"/>
          <w:szCs w:val="24"/>
        </w:rPr>
      </w:pPr>
      <w:bookmarkStart w:id="12" w:name="_Toc12895342"/>
      <w:r w:rsidRPr="00F04D8E">
        <w:rPr>
          <w:rFonts w:hint="eastAsia"/>
          <w:sz w:val="24"/>
          <w:szCs w:val="24"/>
        </w:rPr>
        <w:t>三、税收征管</w:t>
      </w:r>
      <w:bookmarkEnd w:id="12"/>
    </w:p>
    <w:p w14:paraId="1DEB1A19" w14:textId="77777777" w:rsidR="00F04D8E" w:rsidRPr="00F04D8E" w:rsidRDefault="00F04D8E" w:rsidP="00F04D8E">
      <w:pPr>
        <w:pStyle w:val="2"/>
        <w:spacing w:before="50" w:after="0" w:line="480" w:lineRule="atLeast"/>
        <w:rPr>
          <w:sz w:val="24"/>
          <w:szCs w:val="24"/>
        </w:rPr>
      </w:pPr>
      <w:bookmarkStart w:id="13" w:name="_Toc12895343"/>
      <w:r w:rsidRPr="00F04D8E">
        <w:rPr>
          <w:rFonts w:hint="eastAsia"/>
          <w:sz w:val="24"/>
          <w:szCs w:val="24"/>
        </w:rPr>
        <w:t>（一）一般纳税人认定</w:t>
      </w:r>
      <w:bookmarkEnd w:id="13"/>
    </w:p>
    <w:p w14:paraId="5F54F32B"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总机构及其分支机构，一律由主管税务机关认定为增值税一般纳税人。</w:t>
      </w:r>
    </w:p>
    <w:p w14:paraId="59019A67" w14:textId="4AA46A0D"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1"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第十三条）</w:t>
      </w:r>
    </w:p>
    <w:p w14:paraId="2D8D3CD5" w14:textId="77777777" w:rsidR="00F04D8E" w:rsidRPr="00F04D8E" w:rsidRDefault="00F04D8E" w:rsidP="00F04D8E">
      <w:pPr>
        <w:pStyle w:val="2"/>
        <w:spacing w:before="50" w:after="0" w:line="480" w:lineRule="atLeast"/>
        <w:rPr>
          <w:sz w:val="24"/>
          <w:szCs w:val="24"/>
        </w:rPr>
      </w:pPr>
      <w:bookmarkStart w:id="14" w:name="_Toc12895344"/>
      <w:r w:rsidRPr="00F04D8E">
        <w:rPr>
          <w:rFonts w:hint="eastAsia"/>
          <w:sz w:val="24"/>
          <w:szCs w:val="24"/>
        </w:rPr>
        <w:lastRenderedPageBreak/>
        <w:t>（二）抄报税</w:t>
      </w:r>
      <w:bookmarkEnd w:id="14"/>
    </w:p>
    <w:p w14:paraId="1E6381EF"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总机构应当在开具增值税专用发票(含货物运输业增值税专用发票)的次月申报期结束前向主管税务机关报税。</w:t>
      </w:r>
    </w:p>
    <w:p w14:paraId="6A7C7D65" w14:textId="0837123E"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2"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第十四条第一款）</w:t>
      </w:r>
    </w:p>
    <w:p w14:paraId="44E38826" w14:textId="77777777" w:rsidR="00F04D8E" w:rsidRPr="00F04D8E" w:rsidRDefault="00F04D8E" w:rsidP="00F04D8E">
      <w:pPr>
        <w:pStyle w:val="2"/>
        <w:spacing w:before="50" w:after="0" w:line="480" w:lineRule="atLeast"/>
        <w:rPr>
          <w:sz w:val="24"/>
          <w:szCs w:val="24"/>
        </w:rPr>
      </w:pPr>
      <w:bookmarkStart w:id="15" w:name="_Toc12895345"/>
      <w:r w:rsidRPr="00F04D8E">
        <w:rPr>
          <w:rFonts w:hint="eastAsia"/>
          <w:sz w:val="24"/>
          <w:szCs w:val="24"/>
        </w:rPr>
        <w:t>（三）认证或稽核比对</w:t>
      </w:r>
      <w:bookmarkEnd w:id="15"/>
    </w:p>
    <w:p w14:paraId="67EAE854"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总机构及其分支机构取得的增值税扣税凭证，应当按照有关规定到主管税务机关办理认证或者申请稽核比对。</w:t>
      </w:r>
    </w:p>
    <w:p w14:paraId="39DFC624" w14:textId="43F4B7D7"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3"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第十四条第二款）</w:t>
      </w:r>
    </w:p>
    <w:p w14:paraId="58C134EF"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总机构汇总的允许抵扣的进项税额，应当在季度终了后的第一个申报期内申报抵扣。</w:t>
      </w:r>
    </w:p>
    <w:p w14:paraId="07189735" w14:textId="3E6527DE"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4"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第十四条第三款）</w:t>
      </w:r>
    </w:p>
    <w:p w14:paraId="556D92AF" w14:textId="77777777" w:rsidR="00F04D8E" w:rsidRPr="00F04D8E" w:rsidRDefault="00F04D8E" w:rsidP="00F04D8E">
      <w:pPr>
        <w:pStyle w:val="2"/>
        <w:spacing w:before="50" w:after="0" w:line="480" w:lineRule="atLeast"/>
        <w:rPr>
          <w:sz w:val="24"/>
          <w:szCs w:val="24"/>
        </w:rPr>
      </w:pPr>
      <w:bookmarkStart w:id="16" w:name="_Toc12895346"/>
      <w:r w:rsidRPr="00F04D8E">
        <w:rPr>
          <w:rFonts w:hint="eastAsia"/>
          <w:sz w:val="24"/>
          <w:szCs w:val="24"/>
        </w:rPr>
        <w:t>（</w:t>
      </w:r>
      <w:r w:rsidRPr="00F04D8E">
        <w:rPr>
          <w:rStyle w:val="20"/>
          <w:rFonts w:hint="eastAsia"/>
          <w:b/>
          <w:bCs/>
          <w:sz w:val="24"/>
          <w:szCs w:val="24"/>
        </w:rPr>
        <w:t>四）</w:t>
      </w:r>
      <w:proofErr w:type="gramStart"/>
      <w:r w:rsidRPr="00F04D8E">
        <w:rPr>
          <w:rStyle w:val="20"/>
          <w:rFonts w:hint="eastAsia"/>
          <w:b/>
          <w:bCs/>
          <w:sz w:val="24"/>
          <w:szCs w:val="24"/>
        </w:rPr>
        <w:t>预征率</w:t>
      </w:r>
      <w:proofErr w:type="gramEnd"/>
      <w:r w:rsidRPr="00F04D8E">
        <w:rPr>
          <w:rStyle w:val="20"/>
          <w:rFonts w:hint="eastAsia"/>
          <w:b/>
          <w:bCs/>
          <w:sz w:val="24"/>
          <w:szCs w:val="24"/>
        </w:rPr>
        <w:t>的确定</w:t>
      </w:r>
      <w:bookmarkEnd w:id="16"/>
    </w:p>
    <w:p w14:paraId="67A139E2"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分支机构的</w:t>
      </w:r>
      <w:proofErr w:type="gramStart"/>
      <w:r w:rsidRPr="00F04D8E">
        <w:rPr>
          <w:rFonts w:asciiTheme="minorEastAsia" w:hAnsiTheme="minorEastAsia" w:cs="宋体" w:hint="eastAsia"/>
          <w:color w:val="000000" w:themeColor="text1"/>
          <w:kern w:val="0"/>
          <w:sz w:val="24"/>
          <w:szCs w:val="24"/>
        </w:rPr>
        <w:t>预征率</w:t>
      </w:r>
      <w:proofErr w:type="gramEnd"/>
      <w:r w:rsidRPr="00F04D8E">
        <w:rPr>
          <w:rFonts w:asciiTheme="minorEastAsia" w:hAnsiTheme="minorEastAsia" w:cs="宋体" w:hint="eastAsia"/>
          <w:color w:val="000000" w:themeColor="text1"/>
          <w:kern w:val="0"/>
          <w:sz w:val="24"/>
          <w:szCs w:val="24"/>
        </w:rPr>
        <w:t>由省、自治区、直辖市或者计划单列市国家税务局商同级财政部门确定。</w:t>
      </w:r>
    </w:p>
    <w:p w14:paraId="2F368C0A" w14:textId="159128D9"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5"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第十五条）</w:t>
      </w:r>
    </w:p>
    <w:p w14:paraId="5AA7158D" w14:textId="77777777" w:rsidR="00F04D8E" w:rsidRPr="00F04D8E" w:rsidRDefault="00F04D8E" w:rsidP="00F04D8E">
      <w:pPr>
        <w:pStyle w:val="2"/>
        <w:spacing w:before="50" w:after="0" w:line="480" w:lineRule="atLeast"/>
        <w:rPr>
          <w:sz w:val="24"/>
          <w:szCs w:val="24"/>
        </w:rPr>
      </w:pPr>
      <w:bookmarkStart w:id="17" w:name="_Toc12895347"/>
      <w:r w:rsidRPr="00F04D8E">
        <w:rPr>
          <w:rFonts w:hint="eastAsia"/>
          <w:sz w:val="24"/>
          <w:szCs w:val="24"/>
        </w:rPr>
        <w:t>（五）税收检查</w:t>
      </w:r>
      <w:bookmarkEnd w:id="17"/>
    </w:p>
    <w:p w14:paraId="56F2ABB8"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总机构和分支机构所在地主管税务机关应定期或不定期对其纳税情况进行检查。</w:t>
      </w:r>
    </w:p>
    <w:p w14:paraId="36B2A875" w14:textId="1FAACA32"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6"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第十六条第一款）</w:t>
      </w:r>
    </w:p>
    <w:p w14:paraId="7EF55895"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分支机构提供邮政服务申报不实的，由其主管税务机关按适用税率全额补征增值税。</w:t>
      </w:r>
    </w:p>
    <w:p w14:paraId="2554424B" w14:textId="1E5FE532"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7"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第十六条第二款）</w:t>
      </w:r>
    </w:p>
    <w:p w14:paraId="2C7FFBF5" w14:textId="77777777" w:rsidR="00F04D8E" w:rsidRPr="00F04D8E" w:rsidRDefault="00F04D8E" w:rsidP="00F04D8E">
      <w:pPr>
        <w:pStyle w:val="2"/>
        <w:spacing w:before="50" w:after="0" w:line="480" w:lineRule="atLeast"/>
        <w:rPr>
          <w:sz w:val="24"/>
          <w:szCs w:val="24"/>
        </w:rPr>
      </w:pPr>
      <w:bookmarkStart w:id="18" w:name="_Toc12895348"/>
      <w:r w:rsidRPr="00F04D8E">
        <w:rPr>
          <w:rFonts w:hint="eastAsia"/>
          <w:sz w:val="24"/>
          <w:szCs w:val="24"/>
        </w:rPr>
        <w:lastRenderedPageBreak/>
        <w:t>（六）其他事项</w:t>
      </w:r>
      <w:bookmarkEnd w:id="18"/>
    </w:p>
    <w:p w14:paraId="44F1AF22" w14:textId="77777777" w:rsidR="00F04D8E" w:rsidRPr="00F04D8E" w:rsidRDefault="00F04D8E" w:rsidP="00F04D8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04D8E">
        <w:rPr>
          <w:rFonts w:asciiTheme="minorEastAsia" w:hAnsiTheme="minorEastAsia" w:cs="宋体" w:hint="eastAsia"/>
          <w:color w:val="000000" w:themeColor="text1"/>
          <w:kern w:val="0"/>
          <w:sz w:val="24"/>
          <w:szCs w:val="24"/>
        </w:rPr>
        <w:t>总机构及其分支机构的其他增值税涉税事项，按照增值税条例、试点实施办法及相关规定执行。</w:t>
      </w:r>
    </w:p>
    <w:p w14:paraId="06D88FFC" w14:textId="5B6B01A7" w:rsidR="00F04D8E" w:rsidRPr="00F04D8E" w:rsidRDefault="00F04D8E" w:rsidP="00F04D8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04D8E">
        <w:rPr>
          <w:rFonts w:asciiTheme="minorEastAsia" w:hAnsiTheme="minorEastAsia" w:hint="eastAsia"/>
          <w:color w:val="000000" w:themeColor="text1"/>
          <w:sz w:val="24"/>
          <w:szCs w:val="24"/>
          <w:shd w:val="clear" w:color="auto" w:fill="FFFFFF"/>
        </w:rPr>
        <w:t>（</w:t>
      </w:r>
      <w:hyperlink r:id="rId38" w:history="1">
        <w:r w:rsidR="00C424F1" w:rsidRPr="00C424F1">
          <w:rPr>
            <w:rStyle w:val="a4"/>
            <w:rFonts w:asciiTheme="minorEastAsia" w:hAnsiTheme="minorEastAsia" w:hint="eastAsia"/>
            <w:sz w:val="24"/>
            <w:szCs w:val="24"/>
            <w:shd w:val="clear" w:color="auto" w:fill="FFFFFF"/>
          </w:rPr>
          <w:t>国家税务总局公告2014年第5号</w:t>
        </w:r>
      </w:hyperlink>
      <w:r w:rsidRPr="00F04D8E">
        <w:rPr>
          <w:rFonts w:asciiTheme="minorEastAsia" w:hAnsiTheme="minorEastAsia" w:hint="eastAsia"/>
          <w:color w:val="000000" w:themeColor="text1"/>
          <w:sz w:val="24"/>
          <w:szCs w:val="24"/>
          <w:shd w:val="clear" w:color="auto" w:fill="FFFFFF"/>
        </w:rPr>
        <w:t>第十七条）</w:t>
      </w:r>
    </w:p>
    <w:p w14:paraId="23C389C5" w14:textId="0328F815" w:rsidR="00985B1A" w:rsidRPr="00F04D8E" w:rsidRDefault="00985B1A" w:rsidP="00F04D8E">
      <w:pPr>
        <w:pStyle w:val="a3"/>
        <w:shd w:val="clear" w:color="auto" w:fill="FFFFFF"/>
        <w:spacing w:beforeLines="50" w:before="156" w:line="480" w:lineRule="atLeast"/>
        <w:ind w:firstLine="482"/>
        <w:rPr>
          <w:color w:val="000000" w:themeColor="text1"/>
        </w:rPr>
      </w:pPr>
    </w:p>
    <w:p w14:paraId="55C1ED0F" w14:textId="77777777" w:rsidR="00057490" w:rsidRPr="006F5080" w:rsidRDefault="00057490" w:rsidP="00672DDC">
      <w:pPr>
        <w:pStyle w:val="a3"/>
        <w:shd w:val="clear" w:color="auto" w:fill="FFFFFF"/>
        <w:spacing w:beforeLines="50" w:before="156" w:line="480" w:lineRule="atLeast"/>
        <w:ind w:firstLine="482"/>
        <w:rPr>
          <w:color w:val="000000" w:themeColor="text1"/>
        </w:rPr>
      </w:pPr>
    </w:p>
    <w:sectPr w:rsidR="00057490" w:rsidRPr="006F5080">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B66FF" w14:textId="77777777" w:rsidR="00782EC4" w:rsidRDefault="00782EC4" w:rsidP="008A4976">
      <w:r>
        <w:separator/>
      </w:r>
    </w:p>
  </w:endnote>
  <w:endnote w:type="continuationSeparator" w:id="0">
    <w:p w14:paraId="42DA7551" w14:textId="77777777" w:rsidR="00782EC4" w:rsidRDefault="00782EC4"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1A261" w14:textId="77777777" w:rsidR="00782EC4" w:rsidRDefault="00782EC4" w:rsidP="008A4976">
      <w:r>
        <w:separator/>
      </w:r>
    </w:p>
  </w:footnote>
  <w:footnote w:type="continuationSeparator" w:id="0">
    <w:p w14:paraId="52E02ABC" w14:textId="77777777" w:rsidR="00782EC4" w:rsidRDefault="00782EC4"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57490"/>
    <w:rsid w:val="000B36DC"/>
    <w:rsid w:val="000B70ED"/>
    <w:rsid w:val="000E0142"/>
    <w:rsid w:val="00117105"/>
    <w:rsid w:val="00124157"/>
    <w:rsid w:val="001472B4"/>
    <w:rsid w:val="00156542"/>
    <w:rsid w:val="00180AA2"/>
    <w:rsid w:val="001F0B3D"/>
    <w:rsid w:val="00217C7A"/>
    <w:rsid w:val="00223407"/>
    <w:rsid w:val="002E7F9B"/>
    <w:rsid w:val="00324860"/>
    <w:rsid w:val="003349D4"/>
    <w:rsid w:val="00383FA2"/>
    <w:rsid w:val="003A1160"/>
    <w:rsid w:val="003A70BD"/>
    <w:rsid w:val="003C5CF6"/>
    <w:rsid w:val="00415DD2"/>
    <w:rsid w:val="00417B40"/>
    <w:rsid w:val="00423994"/>
    <w:rsid w:val="0046344C"/>
    <w:rsid w:val="00464480"/>
    <w:rsid w:val="004A3700"/>
    <w:rsid w:val="004B37E5"/>
    <w:rsid w:val="004B74E4"/>
    <w:rsid w:val="004C0F85"/>
    <w:rsid w:val="004D7687"/>
    <w:rsid w:val="00540CBE"/>
    <w:rsid w:val="005463D2"/>
    <w:rsid w:val="00586D71"/>
    <w:rsid w:val="005A4D4B"/>
    <w:rsid w:val="005A7E74"/>
    <w:rsid w:val="005B635E"/>
    <w:rsid w:val="005E1334"/>
    <w:rsid w:val="00605259"/>
    <w:rsid w:val="006135BA"/>
    <w:rsid w:val="0061698A"/>
    <w:rsid w:val="00672DDC"/>
    <w:rsid w:val="006813D8"/>
    <w:rsid w:val="006853B2"/>
    <w:rsid w:val="006942D5"/>
    <w:rsid w:val="006B68E4"/>
    <w:rsid w:val="006D39D0"/>
    <w:rsid w:val="006F5080"/>
    <w:rsid w:val="00706A2B"/>
    <w:rsid w:val="00726031"/>
    <w:rsid w:val="00733ADE"/>
    <w:rsid w:val="00782EC4"/>
    <w:rsid w:val="007D7D01"/>
    <w:rsid w:val="0080484F"/>
    <w:rsid w:val="00830DFD"/>
    <w:rsid w:val="00831680"/>
    <w:rsid w:val="00877989"/>
    <w:rsid w:val="008A4976"/>
    <w:rsid w:val="008D5C7D"/>
    <w:rsid w:val="009608E3"/>
    <w:rsid w:val="00985B1A"/>
    <w:rsid w:val="00994661"/>
    <w:rsid w:val="009D6656"/>
    <w:rsid w:val="009E080D"/>
    <w:rsid w:val="009E52FE"/>
    <w:rsid w:val="00A13792"/>
    <w:rsid w:val="00AA69CD"/>
    <w:rsid w:val="00AB4C73"/>
    <w:rsid w:val="00AE5056"/>
    <w:rsid w:val="00AF79DC"/>
    <w:rsid w:val="00B13088"/>
    <w:rsid w:val="00B35AF5"/>
    <w:rsid w:val="00BA7E10"/>
    <w:rsid w:val="00BD6687"/>
    <w:rsid w:val="00BF7C9A"/>
    <w:rsid w:val="00C31744"/>
    <w:rsid w:val="00C424F1"/>
    <w:rsid w:val="00C439C3"/>
    <w:rsid w:val="00C457C7"/>
    <w:rsid w:val="00C65122"/>
    <w:rsid w:val="00CA0606"/>
    <w:rsid w:val="00CA4174"/>
    <w:rsid w:val="00CB0DBB"/>
    <w:rsid w:val="00CD0B97"/>
    <w:rsid w:val="00D25B59"/>
    <w:rsid w:val="00D417A4"/>
    <w:rsid w:val="00D52443"/>
    <w:rsid w:val="00D810B5"/>
    <w:rsid w:val="00D91F27"/>
    <w:rsid w:val="00DA5866"/>
    <w:rsid w:val="00DD257C"/>
    <w:rsid w:val="00E00AD2"/>
    <w:rsid w:val="00E41E17"/>
    <w:rsid w:val="00E477C0"/>
    <w:rsid w:val="00E7140D"/>
    <w:rsid w:val="00F04D8E"/>
    <w:rsid w:val="00F249DB"/>
    <w:rsid w:val="00F37069"/>
    <w:rsid w:val="00F57C18"/>
    <w:rsid w:val="00FA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C4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1271.html" TargetMode="External"/><Relationship Id="rId18" Type="http://schemas.openxmlformats.org/officeDocument/2006/relationships/hyperlink" Target="http://ssfb86.com/index/News/detail/newsid/1271.html" TargetMode="External"/><Relationship Id="rId26" Type="http://schemas.openxmlformats.org/officeDocument/2006/relationships/hyperlink" Target="http://ssfb86.com/index/News/detail/newsid/1271.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1271.html" TargetMode="External"/><Relationship Id="rId34" Type="http://schemas.openxmlformats.org/officeDocument/2006/relationships/hyperlink" Target="http://ssfb86.com/index/News/detail/newsid/1271.html" TargetMode="Externa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1271.html" TargetMode="External"/><Relationship Id="rId17" Type="http://schemas.openxmlformats.org/officeDocument/2006/relationships/hyperlink" Target="http://ssfb86.com/index/News/detail/newsid/1271.html" TargetMode="External"/><Relationship Id="rId25" Type="http://schemas.openxmlformats.org/officeDocument/2006/relationships/hyperlink" Target="http://ssfb86.com/index/News/detail/newsid/1271.html" TargetMode="External"/><Relationship Id="rId33" Type="http://schemas.openxmlformats.org/officeDocument/2006/relationships/hyperlink" Target="http://ssfb86.com/index/News/detail/newsid/1271.html" TargetMode="External"/><Relationship Id="rId38" Type="http://schemas.openxmlformats.org/officeDocument/2006/relationships/hyperlink" Target="http://ssfb86.com/index/News/detail/newsid/1271.html" TargetMode="External"/><Relationship Id="rId2" Type="http://schemas.openxmlformats.org/officeDocument/2006/relationships/styles" Target="styles.xml"/><Relationship Id="rId16" Type="http://schemas.openxmlformats.org/officeDocument/2006/relationships/hyperlink" Target="http://ssfb86.com/index/News/detail/newsid/1271.html" TargetMode="External"/><Relationship Id="rId20" Type="http://schemas.openxmlformats.org/officeDocument/2006/relationships/hyperlink" Target="http://ssfb86.com/index/News/detail/newsid/1271.html" TargetMode="External"/><Relationship Id="rId29" Type="http://schemas.openxmlformats.org/officeDocument/2006/relationships/hyperlink" Target="http://ssfb86.com/index/News/detail/newsid/1271.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271.html" TargetMode="External"/><Relationship Id="rId24" Type="http://schemas.openxmlformats.org/officeDocument/2006/relationships/hyperlink" Target="http://ssfb86.com/index/News/detail/newsid/1271.html" TargetMode="External"/><Relationship Id="rId32" Type="http://schemas.openxmlformats.org/officeDocument/2006/relationships/hyperlink" Target="http://ssfb86.com/index/News/detail/newsid/1271.html" TargetMode="External"/><Relationship Id="rId37" Type="http://schemas.openxmlformats.org/officeDocument/2006/relationships/hyperlink" Target="http://ssfb86.com/index/News/detail/newsid/1271.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271.html" TargetMode="External"/><Relationship Id="rId23" Type="http://schemas.openxmlformats.org/officeDocument/2006/relationships/hyperlink" Target="http://ssfb86.com/index/News/detail/newsid/1271.html" TargetMode="External"/><Relationship Id="rId28" Type="http://schemas.openxmlformats.org/officeDocument/2006/relationships/hyperlink" Target="http://ssfb86.com/index/News/detail/newsid/1271.html" TargetMode="External"/><Relationship Id="rId36" Type="http://schemas.openxmlformats.org/officeDocument/2006/relationships/hyperlink" Target="http://ssfb86.com/index/News/detail/newsid/1271.html" TargetMode="External"/><Relationship Id="rId10" Type="http://schemas.openxmlformats.org/officeDocument/2006/relationships/hyperlink" Target="http://ssfb86.com/index/News/detail/newsid/1271.html" TargetMode="External"/><Relationship Id="rId19" Type="http://schemas.openxmlformats.org/officeDocument/2006/relationships/hyperlink" Target="http://ssfb86.com/index/News/detail/newsid/1271.html" TargetMode="External"/><Relationship Id="rId31" Type="http://schemas.openxmlformats.org/officeDocument/2006/relationships/hyperlink" Target="http://ssfb86.com/index/News/detail/newsid/1271.html" TargetMode="External"/><Relationship Id="rId4" Type="http://schemas.openxmlformats.org/officeDocument/2006/relationships/webSettings" Target="webSettings.xml"/><Relationship Id="rId9" Type="http://schemas.openxmlformats.org/officeDocument/2006/relationships/hyperlink" Target="http://ssfb86.com/index/News/detail/newsid/1271.html" TargetMode="External"/><Relationship Id="rId14" Type="http://schemas.openxmlformats.org/officeDocument/2006/relationships/hyperlink" Target="http://ssfb86.com/index/News/detail/newsid/1271.html" TargetMode="External"/><Relationship Id="rId22" Type="http://schemas.openxmlformats.org/officeDocument/2006/relationships/hyperlink" Target="http://ssfb86.com/index/News/detail/newsid/1271.html" TargetMode="External"/><Relationship Id="rId27" Type="http://schemas.openxmlformats.org/officeDocument/2006/relationships/hyperlink" Target="http://ssfb86.com/index/News/detail/newsid/1271.html" TargetMode="External"/><Relationship Id="rId30" Type="http://schemas.openxmlformats.org/officeDocument/2006/relationships/hyperlink" Target="http://ssfb86.com/index/News/detail/newsid/1271.html" TargetMode="External"/><Relationship Id="rId35" Type="http://schemas.openxmlformats.org/officeDocument/2006/relationships/hyperlink" Target="http://ssfb86.com/index/News/detail/newsid/127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2020-07-04T02:08:00Z</dcterms:created>
  <dcterms:modified xsi:type="dcterms:W3CDTF">2020-10-03T09:56:00Z</dcterms:modified>
</cp:coreProperties>
</file>