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A036A" w14:textId="77777777" w:rsidR="004F70E2" w:rsidRPr="002D7299" w:rsidRDefault="004F70E2" w:rsidP="002D7299">
      <w:pPr>
        <w:spacing w:beforeLines="50" w:before="156" w:line="480" w:lineRule="atLeast"/>
        <w:rPr>
          <w:rFonts w:asciiTheme="minorEastAsia" w:hAnsiTheme="minorEastAsia" w:hint="eastAsia"/>
          <w:sz w:val="24"/>
          <w:szCs w:val="24"/>
        </w:rPr>
      </w:pPr>
    </w:p>
    <w:p w14:paraId="4AB1EE05" w14:textId="317C9017" w:rsidR="002D7299" w:rsidRPr="002D7299" w:rsidRDefault="00492403" w:rsidP="002D7299">
      <w:pPr>
        <w:spacing w:beforeLines="50" w:before="156" w:line="48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2.</w:t>
      </w:r>
      <w:r w:rsidR="00DF26E5">
        <w:rPr>
          <w:rFonts w:asciiTheme="minorEastAsia" w:hAnsiTheme="minorEastAsia"/>
          <w:sz w:val="44"/>
          <w:szCs w:val="44"/>
        </w:rPr>
        <w:t>2.</w:t>
      </w:r>
      <w:r w:rsidR="00267966">
        <w:rPr>
          <w:rFonts w:asciiTheme="minorEastAsia" w:hAnsiTheme="minorEastAsia"/>
          <w:sz w:val="44"/>
          <w:szCs w:val="44"/>
        </w:rPr>
        <w:t>7</w:t>
      </w:r>
      <w:r w:rsidR="002D7299">
        <w:rPr>
          <w:rFonts w:asciiTheme="minorEastAsia" w:hAnsiTheme="minorEastAsia" w:hint="eastAsia"/>
          <w:sz w:val="44"/>
          <w:szCs w:val="44"/>
        </w:rPr>
        <w:t xml:space="preserve">  </w:t>
      </w:r>
      <w:r w:rsidR="00267966" w:rsidRPr="00267966">
        <w:rPr>
          <w:rFonts w:asciiTheme="minorEastAsia" w:hAnsiTheme="minorEastAsia" w:hint="eastAsia"/>
          <w:sz w:val="44"/>
          <w:szCs w:val="44"/>
        </w:rPr>
        <w:t>摩托车</w:t>
      </w:r>
    </w:p>
    <w:p w14:paraId="278755F2" w14:textId="79795DB3" w:rsidR="005D0CBD" w:rsidRPr="00FB3A43" w:rsidRDefault="005D0CBD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2"/>
        <w:rPr>
          <w:rFonts w:asciiTheme="minorEastAsia" w:eastAsiaTheme="minorEastAsia" w:hAnsiTheme="minorEastAsia" w:cstheme="minorBidi"/>
          <w:b/>
          <w:bCs/>
          <w:color w:val="000000" w:themeColor="text1"/>
          <w:kern w:val="44"/>
        </w:rPr>
      </w:pPr>
    </w:p>
    <w:p w14:paraId="7C1F8E36" w14:textId="29BC8D8E" w:rsidR="00FB3A43" w:rsidRPr="00FB3A43" w:rsidRDefault="00FB3A43" w:rsidP="00FB3A43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B3A43">
        <w:rPr>
          <w:rFonts w:asciiTheme="minorEastAsia" w:hAnsiTheme="minorEastAsia" w:hint="eastAsia"/>
          <w:color w:val="000000" w:themeColor="text1"/>
          <w:sz w:val="24"/>
          <w:szCs w:val="24"/>
        </w:rPr>
        <w:t>一、税率</w:t>
      </w:r>
    </w:p>
    <w:p w14:paraId="58C4E15A" w14:textId="4A3C0884" w:rsidR="00FB3A43" w:rsidRPr="00FB3A43" w:rsidRDefault="00FB3A43" w:rsidP="00FB3A4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B3A4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自2014年12月1日起，取消气缸容量250毫升（不含）以下的小排量摩托车消费税。气缸容量250毫升和250毫升（不含）以上的摩托车继续分别按3%和10%的税率征收消费税。 </w:t>
      </w:r>
    </w:p>
    <w:p w14:paraId="400CA49F" w14:textId="1B065980" w:rsidR="00FB3A43" w:rsidRPr="00FB3A43" w:rsidRDefault="00FB3A43" w:rsidP="00FB3A43">
      <w:pPr>
        <w:spacing w:beforeLines="50" w:before="156" w:line="480" w:lineRule="atLeast"/>
        <w:jc w:val="right"/>
        <w:rPr>
          <w:rFonts w:asciiTheme="minorEastAsia" w:hAnsiTheme="minorEastAsia"/>
          <w:b/>
          <w:bCs/>
          <w:color w:val="000000" w:themeColor="text1"/>
          <w:kern w:val="44"/>
          <w:sz w:val="24"/>
          <w:szCs w:val="24"/>
        </w:rPr>
      </w:pPr>
      <w:r w:rsidRPr="00FB3A43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7" w:history="1">
        <w:r w:rsidRPr="00D06797">
          <w:rPr>
            <w:rStyle w:val="a8"/>
            <w:rFonts w:asciiTheme="minorEastAsia" w:hAnsiTheme="minorEastAsia" w:hint="eastAsia"/>
            <w:sz w:val="24"/>
            <w:szCs w:val="24"/>
          </w:rPr>
          <w:t>财税〔2014〕93号</w:t>
        </w:r>
      </w:hyperlink>
      <w:r w:rsidRPr="00FB3A43">
        <w:rPr>
          <w:rFonts w:asciiTheme="minorEastAsia" w:hAnsiTheme="minorEastAsia" w:hint="eastAsia"/>
          <w:color w:val="000000" w:themeColor="text1"/>
          <w:sz w:val="24"/>
          <w:szCs w:val="24"/>
        </w:rPr>
        <w:t>第一条）</w:t>
      </w:r>
    </w:p>
    <w:p w14:paraId="7DB4B64E" w14:textId="0905F1C6" w:rsidR="00FB3A43" w:rsidRPr="00FB3A43" w:rsidRDefault="00FB3A43" w:rsidP="00FB3A43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B3A43">
        <w:rPr>
          <w:rFonts w:asciiTheme="minorEastAsia" w:hAnsiTheme="minorEastAsia" w:hint="eastAsia"/>
          <w:color w:val="000000" w:themeColor="text1"/>
          <w:sz w:val="24"/>
          <w:szCs w:val="24"/>
        </w:rPr>
        <w:t>二、税目</w:t>
      </w:r>
    </w:p>
    <w:p w14:paraId="18C2D895" w14:textId="77777777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</w:rPr>
        <w:t>本税目征收范围包括：</w:t>
      </w:r>
    </w:p>
    <w:p w14:paraId="40AD6500" w14:textId="77777777" w:rsidR="00FB3A43" w:rsidRPr="00FB3A43" w:rsidRDefault="00FB3A43" w:rsidP="00FB3A43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（一）轻便摩托车</w:t>
      </w:r>
    </w:p>
    <w:p w14:paraId="05FB848E" w14:textId="1E0854E4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strike/>
          <w:color w:val="000000" w:themeColor="text1"/>
        </w:rPr>
        <w:t>最大设计车速不超过50公里/小时，发动机气缸总工作容积不超过50毫升的两轮机动车</w:t>
      </w:r>
      <w:r w:rsidRPr="00FB3A43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D18E673" w14:textId="3CC6D716" w:rsidR="00FB3A43" w:rsidRPr="00FB3A43" w:rsidRDefault="00FB3A43" w:rsidP="00FB3A43">
      <w:pPr>
        <w:pStyle w:val="a7"/>
        <w:spacing w:before="50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bookmarkStart w:id="0" w:name="_Hlk22560201"/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8" w:history="1">
        <w:r w:rsidR="00D06797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第十条第一款）</w:t>
      </w:r>
    </w:p>
    <w:bookmarkEnd w:id="0"/>
    <w:p w14:paraId="5F76A7D9" w14:textId="77777777" w:rsidR="00FB3A43" w:rsidRPr="00FB3A43" w:rsidRDefault="00FB3A43" w:rsidP="00FB3A43">
      <w:pPr>
        <w:pStyle w:val="2"/>
        <w:spacing w:before="50" w:after="0" w:line="48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（二）摩托车</w:t>
      </w:r>
    </w:p>
    <w:p w14:paraId="5F4D795B" w14:textId="5FCD3BA9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</w:rPr>
        <w:t>最大设计车速超过50公里/小时，发动机气缸总工作容积超过50毫升，空车质量不超过400公斤（带驾驶室的正三轮车及特种车的空车质量不受此限）的两轮和三轮机动车。</w:t>
      </w:r>
    </w:p>
    <w:p w14:paraId="3A357F03" w14:textId="3C464049" w:rsidR="00FB3A43" w:rsidRPr="00FB3A43" w:rsidRDefault="00FB3A43" w:rsidP="00FB3A43">
      <w:pPr>
        <w:pStyle w:val="a7"/>
        <w:spacing w:before="50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bookmarkStart w:id="1" w:name="_Hlk52954081"/>
      <w:r w:rsidR="00077E2E">
        <w:fldChar w:fldCharType="begin"/>
      </w:r>
      <w:r w:rsidR="00077E2E">
        <w:instrText xml:space="preserve"> HYPERLINK "http://ssfb86.com/index/New</w:instrText>
      </w:r>
      <w:r w:rsidR="00077E2E">
        <w:instrText xml:space="preserve">s/detail/newsid/5527.html" </w:instrText>
      </w:r>
      <w:r w:rsidR="00077E2E">
        <w:fldChar w:fldCharType="separate"/>
      </w:r>
      <w:r w:rsidR="00FB5E9C">
        <w:rPr>
          <w:rStyle w:val="a8"/>
          <w:rFonts w:asciiTheme="minorEastAsia" w:hAnsiTheme="minorEastAsia" w:hint="eastAsia"/>
          <w:shd w:val="clear" w:color="auto" w:fill="FFFFFF"/>
        </w:rPr>
        <w:t>国税发〔1993〕153号</w:t>
      </w:r>
      <w:r w:rsidR="00077E2E">
        <w:rPr>
          <w:rStyle w:val="a8"/>
          <w:rFonts w:asciiTheme="minorEastAsia" w:hAnsiTheme="minorEastAsia"/>
          <w:shd w:val="clear" w:color="auto" w:fill="FFFFFF"/>
        </w:rPr>
        <w:fldChar w:fldCharType="end"/>
      </w:r>
      <w:bookmarkEnd w:id="1"/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第十条第二款）</w:t>
      </w:r>
    </w:p>
    <w:p w14:paraId="1B992B34" w14:textId="77777777" w:rsidR="00FB3A43" w:rsidRPr="00FB3A43" w:rsidRDefault="00FB3A43" w:rsidP="00FB3A43">
      <w:pPr>
        <w:pStyle w:val="3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B3A43">
        <w:rPr>
          <w:rFonts w:asciiTheme="minorEastAsia" w:hAnsiTheme="minorEastAsia" w:hint="eastAsia"/>
          <w:color w:val="000000" w:themeColor="text1"/>
          <w:sz w:val="24"/>
          <w:szCs w:val="24"/>
        </w:rPr>
        <w:t>1、两轮车</w:t>
      </w:r>
    </w:p>
    <w:p w14:paraId="31565F99" w14:textId="11E865E1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</w:rPr>
        <w:t>装有一个驱动轮与一个从动轮的摩托车。</w:t>
      </w:r>
    </w:p>
    <w:p w14:paraId="599E2B53" w14:textId="2CCED51A" w:rsidR="00FB3A43" w:rsidRPr="00FB3A43" w:rsidRDefault="00FB3A43" w:rsidP="00FB3A43">
      <w:pPr>
        <w:pStyle w:val="a7"/>
        <w:spacing w:before="50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bookmarkStart w:id="2" w:name="_Hlk22560219"/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9" w:history="1">
        <w:r w:rsidR="00FB5E9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第十条第二款第一项）</w:t>
      </w:r>
    </w:p>
    <w:bookmarkEnd w:id="2"/>
    <w:p w14:paraId="23F0F894" w14:textId="77777777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</w:rPr>
        <w:t>（1）普通车：骑式车架，双人座垫，轮辋基本直径不小于304毫米，适应在公路或城市道路上行驶的摩托车。</w:t>
      </w:r>
    </w:p>
    <w:p w14:paraId="6E7D0F0B" w14:textId="7F1986CA" w:rsidR="00FB3A43" w:rsidRPr="00FB3A43" w:rsidRDefault="00FB3A43" w:rsidP="00FB3A43">
      <w:pPr>
        <w:pStyle w:val="a7"/>
        <w:spacing w:before="50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bookmarkStart w:id="3" w:name="_Hlk22560299"/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lastRenderedPageBreak/>
        <w:t>（</w:t>
      </w:r>
      <w:hyperlink r:id="rId10" w:history="1">
        <w:r w:rsidR="00FB5E9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第十条第二款第一项第一目）</w:t>
      </w:r>
    </w:p>
    <w:bookmarkEnd w:id="3"/>
    <w:p w14:paraId="4EB70B90" w14:textId="77777777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</w:rPr>
        <w:t>（2）微型车：坐式或骑式车架，单人或双人座垫，轮辋基本直径不大于254毫米，适应在公路或城市道路上行驶的摩托车。</w:t>
      </w:r>
    </w:p>
    <w:p w14:paraId="5F4362CF" w14:textId="670B1B92" w:rsidR="00FB3A43" w:rsidRPr="00FB3A43" w:rsidRDefault="00FB3A43" w:rsidP="00FB3A43">
      <w:pPr>
        <w:pStyle w:val="a7"/>
        <w:spacing w:before="50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bookmarkStart w:id="4" w:name="_Hlk22560332"/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11" w:history="1">
        <w:r w:rsidR="00FB5E9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第十条第二款第一项第二目）</w:t>
      </w:r>
    </w:p>
    <w:bookmarkEnd w:id="4"/>
    <w:p w14:paraId="373294B0" w14:textId="77777777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</w:rPr>
        <w:t>（3）越野车：骑式车架，宽型方向把，越野型轮胎，剩余垂直轮隙及离地间隙大，适应在非公路地区行驶的摩托车。</w:t>
      </w:r>
    </w:p>
    <w:p w14:paraId="2A7EF696" w14:textId="54E76D07" w:rsidR="00FB3A43" w:rsidRPr="00FB3A43" w:rsidRDefault="00FB3A43" w:rsidP="00FB3A43">
      <w:pPr>
        <w:pStyle w:val="a7"/>
        <w:spacing w:before="50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12" w:history="1">
        <w:r w:rsidR="00FB5E9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第十条第二款第一项第三目）</w:t>
      </w:r>
    </w:p>
    <w:p w14:paraId="63C69961" w14:textId="77777777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</w:rPr>
        <w:t>（4）普通赛车：骑式车架，狭型方向把，座垫偏后，装有大功率高转速发动机，在专用跑道上比赛车速的一种摩托车。</w:t>
      </w:r>
    </w:p>
    <w:p w14:paraId="54F7039E" w14:textId="551580C2" w:rsidR="00FB3A43" w:rsidRPr="00FB3A43" w:rsidRDefault="00FB3A43" w:rsidP="00FB3A43">
      <w:pPr>
        <w:pStyle w:val="a7"/>
        <w:spacing w:before="50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13" w:history="1">
        <w:r w:rsidR="00FB5E9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第十条第二款第一项第四目）</w:t>
      </w:r>
    </w:p>
    <w:p w14:paraId="23529506" w14:textId="77777777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</w:rPr>
        <w:t>（5）微型赛车：坐式或骑式车架，轮辋基本直径不大于254毫米，装有大功率高转速发动机，在专用跑道上比赛车速的一种摩托车。</w:t>
      </w:r>
    </w:p>
    <w:p w14:paraId="322BCBBE" w14:textId="3BD0AB19" w:rsidR="00FB3A43" w:rsidRPr="00FB3A43" w:rsidRDefault="00FB3A43" w:rsidP="00FB3A43">
      <w:pPr>
        <w:pStyle w:val="a7"/>
        <w:spacing w:before="50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14" w:history="1">
        <w:r w:rsidR="00FB5E9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第十条第二款第一项第五目）</w:t>
      </w:r>
    </w:p>
    <w:p w14:paraId="5533F337" w14:textId="77777777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</w:rPr>
        <w:t>（6）越野赛车：具有越野性能，装有大功率发动机，用于非公路地区比赛车速的一种摩托车。</w:t>
      </w:r>
    </w:p>
    <w:p w14:paraId="450671DA" w14:textId="31ACF511" w:rsidR="00FB3A43" w:rsidRPr="00FB3A43" w:rsidRDefault="00FB3A43" w:rsidP="00FB3A43">
      <w:pPr>
        <w:pStyle w:val="a7"/>
        <w:spacing w:before="50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15" w:history="1">
        <w:r w:rsidR="00FB5E9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第十条第二款第一项第六目）</w:t>
      </w:r>
    </w:p>
    <w:p w14:paraId="234A8F1D" w14:textId="77777777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</w:rPr>
        <w:t>（7）特种车：一种经过改装之后用于完成特定任务的两轮摩托车。如开道车。</w:t>
      </w:r>
    </w:p>
    <w:p w14:paraId="7E6119FB" w14:textId="450C4385" w:rsidR="00FB3A43" w:rsidRPr="00FB3A43" w:rsidRDefault="00FB3A43" w:rsidP="00FB3A43">
      <w:pPr>
        <w:pStyle w:val="a7"/>
        <w:spacing w:before="50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16" w:history="1">
        <w:r w:rsidR="00FB5E9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第十条第二款第一项第七目）</w:t>
      </w:r>
    </w:p>
    <w:p w14:paraId="0F19BD37" w14:textId="77777777" w:rsidR="00FB3A43" w:rsidRPr="00FB3A43" w:rsidRDefault="00FB3A43" w:rsidP="00FB3A43">
      <w:pPr>
        <w:pStyle w:val="3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B3A43">
        <w:rPr>
          <w:rFonts w:asciiTheme="minorEastAsia" w:hAnsiTheme="minorEastAsia" w:hint="eastAsia"/>
          <w:color w:val="000000" w:themeColor="text1"/>
          <w:sz w:val="24"/>
          <w:szCs w:val="24"/>
        </w:rPr>
        <w:t>2、边三轮车</w:t>
      </w:r>
    </w:p>
    <w:p w14:paraId="6E2EB934" w14:textId="3AB6BA66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</w:rPr>
        <w:t>在两轮车的一侧装有边车的三轮摩托车。</w:t>
      </w:r>
    </w:p>
    <w:p w14:paraId="1183E605" w14:textId="40C3C73B" w:rsidR="00FB3A43" w:rsidRPr="00FB3A43" w:rsidRDefault="00FB3A43" w:rsidP="00FB3A43">
      <w:pPr>
        <w:pStyle w:val="a7"/>
        <w:spacing w:before="50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17" w:history="1">
        <w:r w:rsidR="00FB5E9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第十条第二款第二项）</w:t>
      </w:r>
    </w:p>
    <w:p w14:paraId="0C1C1779" w14:textId="77777777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</w:rPr>
        <w:t>（1）普通边三轮车：具有边三轮车结构，用于载运乘员或货物的摩托车。</w:t>
      </w:r>
    </w:p>
    <w:p w14:paraId="2CBD45A4" w14:textId="557B08BE" w:rsidR="00FB3A43" w:rsidRPr="00FB3A43" w:rsidRDefault="00FB3A43" w:rsidP="00FB3A43">
      <w:pPr>
        <w:pStyle w:val="a7"/>
        <w:spacing w:before="50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18" w:history="1">
        <w:r w:rsidR="00FB5E9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第十条第二款第二项第一目）</w:t>
      </w:r>
    </w:p>
    <w:p w14:paraId="74255F65" w14:textId="77777777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</w:rPr>
        <w:lastRenderedPageBreak/>
        <w:t>（2）特种边三轮车：装有专用设备，用于完成特定任务的边三轮车。如警车，消防车。</w:t>
      </w:r>
    </w:p>
    <w:p w14:paraId="58C99615" w14:textId="005C4E00" w:rsidR="00FB3A43" w:rsidRPr="00FB3A43" w:rsidRDefault="00FB3A43" w:rsidP="00FB3A43">
      <w:pPr>
        <w:pStyle w:val="a7"/>
        <w:spacing w:before="50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19" w:history="1">
        <w:r w:rsidR="00FB5E9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第十条第二款第二项第二目）</w:t>
      </w:r>
    </w:p>
    <w:p w14:paraId="22BD63C0" w14:textId="77777777" w:rsidR="00FB3A43" w:rsidRPr="00FB3A43" w:rsidRDefault="00FB3A43" w:rsidP="00FB3A43">
      <w:pPr>
        <w:pStyle w:val="3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B3A43">
        <w:rPr>
          <w:rFonts w:asciiTheme="minorEastAsia" w:hAnsiTheme="minorEastAsia" w:hint="eastAsia"/>
          <w:color w:val="000000" w:themeColor="text1"/>
          <w:sz w:val="24"/>
          <w:szCs w:val="24"/>
        </w:rPr>
        <w:t>3、正三轮车</w:t>
      </w:r>
    </w:p>
    <w:p w14:paraId="488F8F27" w14:textId="4B915D84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</w:rPr>
        <w:t>装有与前轮对称分布的两个后轮和固定车厢的三轮摩托车。</w:t>
      </w:r>
    </w:p>
    <w:p w14:paraId="467397BF" w14:textId="1F2E508D" w:rsidR="00FB3A43" w:rsidRPr="00FB3A43" w:rsidRDefault="00FB3A43" w:rsidP="00FB3A43">
      <w:pPr>
        <w:pStyle w:val="a7"/>
        <w:spacing w:before="50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20" w:history="1">
        <w:r w:rsidR="00FB5E9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第十条第二款第三项）</w:t>
      </w:r>
    </w:p>
    <w:p w14:paraId="5B91464A" w14:textId="77777777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</w:rPr>
        <w:t>（1）普通正三轮车：具有正三轮车结构，用于载运乘员或货物的摩托车。如客车，货车。</w:t>
      </w:r>
    </w:p>
    <w:p w14:paraId="6F425ECB" w14:textId="2142AD89" w:rsidR="00FB3A43" w:rsidRPr="00FB3A43" w:rsidRDefault="00FB3A43" w:rsidP="00FB3A43">
      <w:pPr>
        <w:pStyle w:val="a7"/>
        <w:spacing w:before="50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bookmarkStart w:id="5" w:name="_Hlk22560406"/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21" w:history="1">
        <w:r w:rsidR="00FB5E9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第十条第二款第三项第一目）</w:t>
      </w:r>
    </w:p>
    <w:bookmarkEnd w:id="5"/>
    <w:p w14:paraId="603B90BF" w14:textId="77777777" w:rsidR="00FB3A43" w:rsidRPr="00FB3A43" w:rsidRDefault="00FB3A43" w:rsidP="00FB3A43">
      <w:pPr>
        <w:pStyle w:val="a7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</w:rPr>
        <w:t>（2）特种正三轮车：装有专用设备，用于完成特定任务的正三轮车。如容罐车，自卸车，冷藏车。</w:t>
      </w:r>
    </w:p>
    <w:p w14:paraId="682CEB17" w14:textId="17E7AE5D" w:rsidR="00FB3A43" w:rsidRPr="00FB3A43" w:rsidRDefault="00FB3A43" w:rsidP="00FB3A43">
      <w:pPr>
        <w:pStyle w:val="a7"/>
        <w:spacing w:before="50" w:beforeAutospacing="0" w:after="0" w:afterAutospacing="0" w:line="480" w:lineRule="atLeast"/>
        <w:jc w:val="right"/>
        <w:rPr>
          <w:rFonts w:asciiTheme="minorEastAsia" w:eastAsiaTheme="minorEastAsia" w:hAnsiTheme="minorEastAsia"/>
          <w:color w:val="000000" w:themeColor="text1"/>
          <w:shd w:val="clear" w:color="auto" w:fill="FFFFFF"/>
        </w:rPr>
      </w:pPr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（</w:t>
      </w:r>
      <w:hyperlink r:id="rId22" w:history="1">
        <w:r w:rsidR="00FB5E9C">
          <w:rPr>
            <w:rStyle w:val="a8"/>
            <w:rFonts w:asciiTheme="minorEastAsia" w:hAnsiTheme="minorEastAsia" w:hint="eastAsia"/>
            <w:shd w:val="clear" w:color="auto" w:fill="FFFFFF"/>
          </w:rPr>
          <w:t>国税发〔1993〕153号</w:t>
        </w:r>
      </w:hyperlink>
      <w:r w:rsidRPr="00FB3A4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第十条第二款第三项第二目）</w:t>
      </w:r>
    </w:p>
    <w:p w14:paraId="1E43CD4A" w14:textId="77777777" w:rsidR="00FB3A43" w:rsidRPr="00FB3A43" w:rsidRDefault="00FB3A43" w:rsidP="00FB3A43">
      <w:pPr>
        <w:pStyle w:val="1"/>
        <w:spacing w:before="50" w:after="0" w:line="48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FB3A43">
        <w:rPr>
          <w:rFonts w:asciiTheme="minorEastAsia" w:hAnsiTheme="minorEastAsia" w:hint="eastAsia"/>
          <w:color w:val="000000" w:themeColor="text1"/>
          <w:sz w:val="24"/>
          <w:szCs w:val="24"/>
        </w:rPr>
        <w:t>附注：对最大设计车速不超过50km／h，发动机汽缸总工作容量不超过50ml的三轮摩托车是否征收消费税？</w:t>
      </w:r>
    </w:p>
    <w:p w14:paraId="2A2753FF" w14:textId="77777777" w:rsidR="00FB3A43" w:rsidRPr="00FB3A43" w:rsidRDefault="00FB3A43" w:rsidP="00FB3A4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B3A4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根据《消费税征收范围注释》法规，轻便摩托车的征税范围为最大设计车速不超过50km／h,发动机气缸总工作容量不超过50ml的两轮摩托车。</w:t>
      </w:r>
      <w:bookmarkStart w:id="6" w:name="_Hlk22582633"/>
      <w:r w:rsidRPr="00FB3A4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对最大设计车速不超过50km／h，发动机汽缸总工作容量不超过50ml的三轮摩托车是否征收消费税？</w:t>
      </w:r>
    </w:p>
    <w:bookmarkEnd w:id="6"/>
    <w:p w14:paraId="41CE1562" w14:textId="77777777" w:rsidR="00FB3A43" w:rsidRPr="00FB3A43" w:rsidRDefault="00FB3A43" w:rsidP="00FB3A43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FB3A4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答：对最大设计车速不超过50km／h，发动机气缸总工作容量不超过50ml的三轮摩托车不征收消费税。</w:t>
      </w:r>
    </w:p>
    <w:p w14:paraId="7E6381A7" w14:textId="2547957D" w:rsidR="00267966" w:rsidRPr="00FB3A43" w:rsidRDefault="00FB3A43" w:rsidP="00FB3A43">
      <w:pPr>
        <w:spacing w:beforeLines="50" w:before="156" w:line="480" w:lineRule="atLeast"/>
        <w:jc w:val="righ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FB3A43"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23" w:history="1">
        <w:r w:rsidRPr="00D06797">
          <w:rPr>
            <w:rStyle w:val="a8"/>
            <w:rFonts w:asciiTheme="minorEastAsia" w:hAnsiTheme="minorEastAsia" w:cs="Times New Roman" w:hint="eastAsia"/>
            <w:sz w:val="24"/>
            <w:szCs w:val="24"/>
            <w:shd w:val="clear" w:color="auto" w:fill="FFFFFF"/>
          </w:rPr>
          <w:t>国税函发[1997]306号</w:t>
        </w:r>
      </w:hyperlink>
      <w:r w:rsidRPr="00FB3A43"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FFFFF"/>
        </w:rPr>
        <w:t>第九问）</w:t>
      </w:r>
    </w:p>
    <w:p w14:paraId="3470D8A2" w14:textId="77777777" w:rsidR="00FB3A43" w:rsidRPr="004D7B97" w:rsidRDefault="00FB3A43" w:rsidP="00FB3A43">
      <w:pPr>
        <w:spacing w:beforeLines="50" w:before="156" w:line="440" w:lineRule="atLeast"/>
        <w:jc w:val="right"/>
        <w:rPr>
          <w:rFonts w:asciiTheme="minorEastAsia" w:hAnsiTheme="minorEastAsia"/>
          <w:color w:val="000000" w:themeColor="text1"/>
        </w:rPr>
      </w:pPr>
    </w:p>
    <w:sectPr w:rsidR="00FB3A43" w:rsidRPr="004D7B97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4B6D1" w14:textId="77777777" w:rsidR="00077E2E" w:rsidRDefault="00077E2E" w:rsidP="002D7299">
      <w:r>
        <w:separator/>
      </w:r>
    </w:p>
  </w:endnote>
  <w:endnote w:type="continuationSeparator" w:id="0">
    <w:p w14:paraId="34587FF7" w14:textId="77777777" w:rsidR="00077E2E" w:rsidRDefault="00077E2E" w:rsidP="002D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29116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0E2006" w14:textId="678DD72E" w:rsidR="004D7B97" w:rsidRDefault="004D7B9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67BEAA" w14:textId="77777777" w:rsidR="004D7B97" w:rsidRDefault="004D7B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81ED0" w14:textId="77777777" w:rsidR="00077E2E" w:rsidRDefault="00077E2E" w:rsidP="002D7299">
      <w:r>
        <w:separator/>
      </w:r>
    </w:p>
  </w:footnote>
  <w:footnote w:type="continuationSeparator" w:id="0">
    <w:p w14:paraId="16698B7A" w14:textId="77777777" w:rsidR="00077E2E" w:rsidRDefault="00077E2E" w:rsidP="002D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CD"/>
    <w:rsid w:val="00077E2E"/>
    <w:rsid w:val="000A424D"/>
    <w:rsid w:val="00267966"/>
    <w:rsid w:val="002B2CD5"/>
    <w:rsid w:val="002D7299"/>
    <w:rsid w:val="002E7AEA"/>
    <w:rsid w:val="00367C9F"/>
    <w:rsid w:val="004602F3"/>
    <w:rsid w:val="00492403"/>
    <w:rsid w:val="004D7B97"/>
    <w:rsid w:val="004E220C"/>
    <w:rsid w:val="004F70E2"/>
    <w:rsid w:val="00502323"/>
    <w:rsid w:val="00503A40"/>
    <w:rsid w:val="00514FFD"/>
    <w:rsid w:val="005B26D3"/>
    <w:rsid w:val="005D0CBD"/>
    <w:rsid w:val="005D1FFB"/>
    <w:rsid w:val="006162E2"/>
    <w:rsid w:val="006830C3"/>
    <w:rsid w:val="006B03D8"/>
    <w:rsid w:val="00721495"/>
    <w:rsid w:val="007F37CD"/>
    <w:rsid w:val="008E237F"/>
    <w:rsid w:val="009B4D33"/>
    <w:rsid w:val="009E4A51"/>
    <w:rsid w:val="00AA1038"/>
    <w:rsid w:val="00B43D94"/>
    <w:rsid w:val="00B476E5"/>
    <w:rsid w:val="00B47EF6"/>
    <w:rsid w:val="00BA17B7"/>
    <w:rsid w:val="00D06797"/>
    <w:rsid w:val="00DF26E5"/>
    <w:rsid w:val="00E34BB0"/>
    <w:rsid w:val="00E63A0A"/>
    <w:rsid w:val="00E878E5"/>
    <w:rsid w:val="00F42128"/>
    <w:rsid w:val="00F51A74"/>
    <w:rsid w:val="00FB1623"/>
    <w:rsid w:val="00FB3A43"/>
    <w:rsid w:val="00FB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7F47E"/>
  <w15:docId w15:val="{DB49B960-BC1F-4F1D-B0C8-68A099C1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23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023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23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0232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0232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0232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2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5023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02323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0232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502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02323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50232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023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02323"/>
    <w:rPr>
      <w:b/>
      <w:bCs/>
      <w:sz w:val="32"/>
      <w:szCs w:val="32"/>
    </w:rPr>
  </w:style>
  <w:style w:type="character" w:styleId="a9">
    <w:name w:val="Strong"/>
    <w:basedOn w:val="a0"/>
    <w:uiPriority w:val="22"/>
    <w:qFormat/>
    <w:rsid w:val="009B4D33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D06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5527.html" TargetMode="External"/><Relationship Id="rId13" Type="http://schemas.openxmlformats.org/officeDocument/2006/relationships/hyperlink" Target="http://ssfb86.com/index/News/detail/newsid/5527.html" TargetMode="External"/><Relationship Id="rId18" Type="http://schemas.openxmlformats.org/officeDocument/2006/relationships/hyperlink" Target="http://ssfb86.com/index/News/detail/newsid/5527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sfb86.com/index/News/detail/newsid/5527.html" TargetMode="External"/><Relationship Id="rId7" Type="http://schemas.openxmlformats.org/officeDocument/2006/relationships/hyperlink" Target="http://ssfb86.com/index/News/detail/newsid/1135.html" TargetMode="External"/><Relationship Id="rId12" Type="http://schemas.openxmlformats.org/officeDocument/2006/relationships/hyperlink" Target="http://ssfb86.com/index/News/detail/newsid/5527.html" TargetMode="External"/><Relationship Id="rId17" Type="http://schemas.openxmlformats.org/officeDocument/2006/relationships/hyperlink" Target="http://ssfb86.com/index/News/detail/newsid/5527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sfb86.com/index/News/detail/newsid/5527.html" TargetMode="External"/><Relationship Id="rId20" Type="http://schemas.openxmlformats.org/officeDocument/2006/relationships/hyperlink" Target="http://ssfb86.com/index/News/detail/newsid/5527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5527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sfb86.com/index/News/detail/newsid/5527.html" TargetMode="External"/><Relationship Id="rId23" Type="http://schemas.openxmlformats.org/officeDocument/2006/relationships/hyperlink" Target="http://ssfb86.com/index/News/detail/newsid/4997.html" TargetMode="External"/><Relationship Id="rId10" Type="http://schemas.openxmlformats.org/officeDocument/2006/relationships/hyperlink" Target="http://ssfb86.com/index/News/detail/newsid/5527.html" TargetMode="External"/><Relationship Id="rId19" Type="http://schemas.openxmlformats.org/officeDocument/2006/relationships/hyperlink" Target="http://ssfb86.com/index/News/detail/newsid/55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5527.html" TargetMode="External"/><Relationship Id="rId14" Type="http://schemas.openxmlformats.org/officeDocument/2006/relationships/hyperlink" Target="http://ssfb86.com/index/News/detail/newsid/5527.html" TargetMode="External"/><Relationship Id="rId22" Type="http://schemas.openxmlformats.org/officeDocument/2006/relationships/hyperlink" Target="http://ssfb86.com/index/News/detail/newsid/5527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6EF6-66A2-4A25-8C84-945BDCA1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Windows 用户</cp:lastModifiedBy>
  <cp:revision>6</cp:revision>
  <dcterms:created xsi:type="dcterms:W3CDTF">2020-08-08T08:57:00Z</dcterms:created>
  <dcterms:modified xsi:type="dcterms:W3CDTF">2020-10-07T01:08:00Z</dcterms:modified>
</cp:coreProperties>
</file>