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77777777" w:rsidR="003773C5" w:rsidRDefault="003773C5" w:rsidP="008D63C6">
      <w:pPr>
        <w:jc w:val="center"/>
        <w:rPr>
          <w:rFonts w:asciiTheme="minorEastAsia" w:hAnsiTheme="minorEastAsia"/>
          <w:sz w:val="44"/>
          <w:szCs w:val="44"/>
        </w:rPr>
      </w:pPr>
    </w:p>
    <w:p w14:paraId="6E63822A" w14:textId="36A0CC79" w:rsidR="00F57C18" w:rsidRDefault="0068405A" w:rsidP="008D63C6">
      <w:pPr>
        <w:jc w:val="center"/>
        <w:rPr>
          <w:rFonts w:asciiTheme="minorEastAsia" w:hAnsiTheme="minorEastAsia"/>
          <w:sz w:val="44"/>
          <w:szCs w:val="44"/>
        </w:rPr>
      </w:pPr>
      <w:r w:rsidRPr="0068405A">
        <w:rPr>
          <w:rFonts w:asciiTheme="minorEastAsia" w:hAnsiTheme="minorEastAsia"/>
          <w:sz w:val="44"/>
          <w:szCs w:val="44"/>
        </w:rPr>
        <w:t>4.4.4.1.6</w:t>
      </w:r>
      <w:r w:rsidR="008D63C6" w:rsidRPr="00740A21">
        <w:rPr>
          <w:rFonts w:asciiTheme="minorEastAsia" w:hAnsiTheme="minorEastAsia"/>
          <w:sz w:val="44"/>
          <w:szCs w:val="44"/>
        </w:rPr>
        <w:t xml:space="preserve">  </w:t>
      </w:r>
      <w:r w:rsidR="00B00122">
        <w:rPr>
          <w:rFonts w:asciiTheme="minorEastAsia" w:hAnsiTheme="minorEastAsia" w:hint="eastAsia"/>
          <w:sz w:val="44"/>
          <w:szCs w:val="44"/>
        </w:rPr>
        <w:t>对外投资</w:t>
      </w:r>
    </w:p>
    <w:p w14:paraId="464582DA" w14:textId="6EB36DD0" w:rsidR="000E1550" w:rsidRDefault="000E1550" w:rsidP="000E1550">
      <w:pPr>
        <w:spacing w:beforeLines="50" w:before="156" w:line="480" w:lineRule="atLeast"/>
        <w:jc w:val="left"/>
        <w:rPr>
          <w:rFonts w:asciiTheme="minorEastAsia" w:hAnsiTheme="minorEastAsia"/>
          <w:b/>
          <w:bCs/>
          <w:kern w:val="44"/>
          <w:sz w:val="24"/>
          <w:szCs w:val="24"/>
        </w:rPr>
      </w:pPr>
    </w:p>
    <w:p w14:paraId="2A833D50" w14:textId="77777777" w:rsidR="00CE1D41" w:rsidRPr="00CE1D41" w:rsidRDefault="00CE1D41" w:rsidP="00CE1D41">
      <w:pPr>
        <w:pStyle w:val="1"/>
        <w:spacing w:beforeLines="50" w:before="156" w:after="0" w:line="480" w:lineRule="atLeast"/>
        <w:rPr>
          <w:color w:val="000000" w:themeColor="text1"/>
          <w:sz w:val="24"/>
          <w:szCs w:val="24"/>
        </w:rPr>
      </w:pPr>
      <w:r w:rsidRPr="00CE1D41">
        <w:rPr>
          <w:rFonts w:hint="eastAsia"/>
          <w:color w:val="000000" w:themeColor="text1"/>
          <w:sz w:val="24"/>
          <w:szCs w:val="24"/>
        </w:rPr>
        <w:t>一、概念</w:t>
      </w:r>
    </w:p>
    <w:p w14:paraId="07D3F198" w14:textId="6DC3C4F1" w:rsidR="00CE1D41" w:rsidRPr="00CE1D41" w:rsidRDefault="00447362" w:rsidP="00CE1D41">
      <w:pPr>
        <w:pStyle w:val="a5"/>
        <w:shd w:val="clear" w:color="auto" w:fill="FFFFFF"/>
        <w:spacing w:beforeLines="50" w:before="156" w:beforeAutospacing="0" w:after="0" w:afterAutospacing="0" w:line="480" w:lineRule="atLeast"/>
        <w:ind w:firstLineChars="200" w:firstLine="480"/>
        <w:rPr>
          <w:color w:val="000000" w:themeColor="text1"/>
        </w:rPr>
      </w:pPr>
      <w:hyperlink r:id="rId7" w:history="1">
        <w:r w:rsidR="00CE1D41" w:rsidRPr="00CB38B2">
          <w:rPr>
            <w:rStyle w:val="a6"/>
            <w:rFonts w:hint="eastAsia"/>
          </w:rPr>
          <w:t>企业所得税法</w:t>
        </w:r>
      </w:hyperlink>
      <w:r w:rsidR="00CE1D41" w:rsidRPr="00CE1D41">
        <w:rPr>
          <w:rFonts w:hint="eastAsia"/>
          <w:color w:val="000000" w:themeColor="text1"/>
        </w:rPr>
        <w:t>第十四条所称投资资产，是指企业对外进行权益性投资和债权性投资形成的资产。</w:t>
      </w:r>
    </w:p>
    <w:p w14:paraId="68E80B4A" w14:textId="18C58554" w:rsidR="00CE1D41" w:rsidRPr="00CE1D41" w:rsidRDefault="00CE1D41" w:rsidP="00CE1D41">
      <w:pPr>
        <w:pStyle w:val="a5"/>
        <w:spacing w:beforeLines="50" w:before="156" w:beforeAutospacing="0" w:after="0" w:afterAutospacing="0" w:line="480" w:lineRule="atLeast"/>
        <w:ind w:firstLineChars="200" w:firstLine="480"/>
        <w:jc w:val="right"/>
        <w:rPr>
          <w:color w:val="000000" w:themeColor="text1"/>
        </w:rPr>
      </w:pPr>
      <w:r w:rsidRPr="00CE1D41">
        <w:rPr>
          <w:rFonts w:hint="eastAsia"/>
          <w:color w:val="000000" w:themeColor="text1"/>
        </w:rPr>
        <w:t>（</w:t>
      </w:r>
      <w:r w:rsidR="00CB38B2">
        <w:rPr>
          <w:rFonts w:asciiTheme="minorEastAsia" w:hAnsiTheme="minorEastAsia" w:hint="eastAsia"/>
          <w:color w:val="000000" w:themeColor="text1"/>
        </w:rPr>
        <w:t>《</w:t>
      </w:r>
      <w:hyperlink r:id="rId8" w:history="1">
        <w:r w:rsidR="00CB38B2">
          <w:rPr>
            <w:rStyle w:val="a6"/>
            <w:rFonts w:asciiTheme="minorEastAsia" w:hAnsiTheme="minorEastAsia" w:hint="eastAsia"/>
          </w:rPr>
          <w:t>企业所得税法实施条例</w:t>
        </w:r>
      </w:hyperlink>
      <w:r w:rsidR="00CB38B2">
        <w:rPr>
          <w:rFonts w:asciiTheme="minorEastAsia" w:hAnsiTheme="minorEastAsia" w:hint="eastAsia"/>
          <w:color w:val="000000" w:themeColor="text1"/>
        </w:rPr>
        <w:t>》</w:t>
      </w:r>
      <w:r w:rsidRPr="00CE1D41">
        <w:rPr>
          <w:rFonts w:hint="eastAsia"/>
          <w:color w:val="000000" w:themeColor="text1"/>
        </w:rPr>
        <w:t>第七十一条第一款）</w:t>
      </w:r>
    </w:p>
    <w:p w14:paraId="29060321" w14:textId="77777777" w:rsidR="00CE1D41" w:rsidRPr="00CE1D41" w:rsidRDefault="00CE1D41" w:rsidP="00CE1D41">
      <w:pPr>
        <w:pStyle w:val="1"/>
        <w:spacing w:beforeLines="50" w:before="156" w:after="0" w:line="480" w:lineRule="atLeast"/>
        <w:rPr>
          <w:color w:val="000000" w:themeColor="text1"/>
          <w:sz w:val="24"/>
          <w:szCs w:val="24"/>
        </w:rPr>
      </w:pPr>
      <w:r w:rsidRPr="00CE1D41">
        <w:rPr>
          <w:rFonts w:hint="eastAsia"/>
          <w:color w:val="000000" w:themeColor="text1"/>
          <w:sz w:val="24"/>
          <w:szCs w:val="24"/>
        </w:rPr>
        <w:t>二、初始成本确定</w:t>
      </w:r>
    </w:p>
    <w:p w14:paraId="66B2DC62" w14:textId="77777777" w:rsidR="00CE1D41" w:rsidRPr="00CE1D41" w:rsidRDefault="00CE1D41" w:rsidP="00CE1D41">
      <w:pPr>
        <w:pStyle w:val="a5"/>
        <w:shd w:val="clear" w:color="auto" w:fill="FFFFFF"/>
        <w:spacing w:beforeLines="50" w:before="156" w:beforeAutospacing="0" w:after="0" w:afterAutospacing="0" w:line="480" w:lineRule="atLeast"/>
        <w:ind w:firstLineChars="200" w:firstLine="480"/>
        <w:rPr>
          <w:color w:val="000000" w:themeColor="text1"/>
        </w:rPr>
      </w:pPr>
      <w:r w:rsidRPr="00CE1D41">
        <w:rPr>
          <w:rFonts w:hint="eastAsia"/>
          <w:color w:val="000000" w:themeColor="text1"/>
        </w:rPr>
        <w:t>投资资产按照以下方法确定成本：</w:t>
      </w:r>
    </w:p>
    <w:p w14:paraId="76BD7BCE" w14:textId="625DF21B" w:rsidR="00CE1D41" w:rsidRPr="00CE1D41" w:rsidRDefault="00CE1D41" w:rsidP="00CE1D41">
      <w:pPr>
        <w:pStyle w:val="a5"/>
        <w:spacing w:beforeLines="50" w:before="156" w:beforeAutospacing="0" w:after="0" w:afterAutospacing="0" w:line="480" w:lineRule="atLeast"/>
        <w:ind w:firstLineChars="200" w:firstLine="480"/>
        <w:jc w:val="right"/>
        <w:rPr>
          <w:color w:val="000000" w:themeColor="text1"/>
        </w:rPr>
      </w:pPr>
      <w:r w:rsidRPr="00CE1D41">
        <w:rPr>
          <w:rFonts w:hint="eastAsia"/>
          <w:color w:val="000000" w:themeColor="text1"/>
        </w:rPr>
        <w:t>（</w:t>
      </w:r>
      <w:r w:rsidR="00CB38B2">
        <w:rPr>
          <w:rFonts w:asciiTheme="minorEastAsia" w:hAnsiTheme="minorEastAsia" w:hint="eastAsia"/>
          <w:color w:val="000000" w:themeColor="text1"/>
        </w:rPr>
        <w:t>《</w:t>
      </w:r>
      <w:hyperlink r:id="rId9" w:history="1">
        <w:r w:rsidR="00CB38B2">
          <w:rPr>
            <w:rStyle w:val="a6"/>
            <w:rFonts w:asciiTheme="minorEastAsia" w:hAnsiTheme="minorEastAsia" w:hint="eastAsia"/>
          </w:rPr>
          <w:t>企业所得税法实施条例</w:t>
        </w:r>
      </w:hyperlink>
      <w:r w:rsidR="00CB38B2">
        <w:rPr>
          <w:rFonts w:asciiTheme="minorEastAsia" w:hAnsiTheme="minorEastAsia" w:hint="eastAsia"/>
          <w:color w:val="000000" w:themeColor="text1"/>
        </w:rPr>
        <w:t>》</w:t>
      </w:r>
      <w:r w:rsidRPr="00CE1D41">
        <w:rPr>
          <w:rFonts w:hint="eastAsia"/>
          <w:color w:val="000000" w:themeColor="text1"/>
        </w:rPr>
        <w:t>第七十一条第三款）</w:t>
      </w:r>
    </w:p>
    <w:p w14:paraId="5E4396BA" w14:textId="77777777" w:rsidR="00CE1D41" w:rsidRPr="00CE1D41" w:rsidRDefault="00CE1D41" w:rsidP="00CE1D41">
      <w:pPr>
        <w:pStyle w:val="a5"/>
        <w:shd w:val="clear" w:color="auto" w:fill="FFFFFF"/>
        <w:spacing w:beforeLines="50" w:before="156" w:beforeAutospacing="0" w:after="0" w:afterAutospacing="0" w:line="480" w:lineRule="atLeast"/>
        <w:ind w:firstLineChars="200" w:firstLine="480"/>
        <w:rPr>
          <w:color w:val="000000" w:themeColor="text1"/>
        </w:rPr>
      </w:pPr>
      <w:r w:rsidRPr="00CE1D41">
        <w:rPr>
          <w:rFonts w:hint="eastAsia"/>
          <w:color w:val="000000" w:themeColor="text1"/>
        </w:rPr>
        <w:t>（一）通过支付现金方式取得的投资资产，以购买价款为成本；</w:t>
      </w:r>
    </w:p>
    <w:p w14:paraId="61FA5860" w14:textId="41C2D10B" w:rsidR="00CE1D41" w:rsidRPr="00CE1D41" w:rsidRDefault="00CE1D41" w:rsidP="00CE1D41">
      <w:pPr>
        <w:pStyle w:val="a5"/>
        <w:spacing w:beforeLines="50" w:before="156" w:beforeAutospacing="0" w:after="0" w:afterAutospacing="0" w:line="480" w:lineRule="atLeast"/>
        <w:ind w:firstLineChars="200" w:firstLine="480"/>
        <w:jc w:val="right"/>
        <w:rPr>
          <w:color w:val="000000" w:themeColor="text1"/>
        </w:rPr>
      </w:pPr>
      <w:r w:rsidRPr="00CE1D41">
        <w:rPr>
          <w:rFonts w:hint="eastAsia"/>
          <w:color w:val="000000" w:themeColor="text1"/>
        </w:rPr>
        <w:t>（</w:t>
      </w:r>
      <w:r w:rsidR="00CB38B2">
        <w:rPr>
          <w:rFonts w:asciiTheme="minorEastAsia" w:hAnsiTheme="minorEastAsia" w:hint="eastAsia"/>
          <w:color w:val="000000" w:themeColor="text1"/>
        </w:rPr>
        <w:t>《</w:t>
      </w:r>
      <w:hyperlink r:id="rId10" w:history="1">
        <w:r w:rsidR="00CB38B2">
          <w:rPr>
            <w:rStyle w:val="a6"/>
            <w:rFonts w:asciiTheme="minorEastAsia" w:hAnsiTheme="minorEastAsia" w:hint="eastAsia"/>
          </w:rPr>
          <w:t>企业所得税法实施条例</w:t>
        </w:r>
      </w:hyperlink>
      <w:r w:rsidR="00CB38B2">
        <w:rPr>
          <w:rFonts w:asciiTheme="minorEastAsia" w:hAnsiTheme="minorEastAsia" w:hint="eastAsia"/>
          <w:color w:val="000000" w:themeColor="text1"/>
        </w:rPr>
        <w:t>》</w:t>
      </w:r>
      <w:r w:rsidRPr="00CE1D41">
        <w:rPr>
          <w:rFonts w:hint="eastAsia"/>
          <w:color w:val="000000" w:themeColor="text1"/>
        </w:rPr>
        <w:t>第七十一条第三款第一项）</w:t>
      </w:r>
    </w:p>
    <w:p w14:paraId="5C1D4FE9" w14:textId="77777777" w:rsidR="00CE1D41" w:rsidRPr="00CE1D41" w:rsidRDefault="00CE1D41" w:rsidP="00CE1D41">
      <w:pPr>
        <w:pStyle w:val="a5"/>
        <w:shd w:val="clear" w:color="auto" w:fill="FFFFFF"/>
        <w:spacing w:beforeLines="50" w:before="156" w:beforeAutospacing="0" w:after="0" w:afterAutospacing="0" w:line="480" w:lineRule="atLeast"/>
        <w:ind w:firstLineChars="200" w:firstLine="480"/>
        <w:rPr>
          <w:color w:val="000000" w:themeColor="text1"/>
        </w:rPr>
      </w:pPr>
      <w:r w:rsidRPr="00CE1D41">
        <w:rPr>
          <w:rFonts w:hint="eastAsia"/>
          <w:color w:val="000000" w:themeColor="text1"/>
        </w:rPr>
        <w:t>（二）通过支付现金以外的方式取得的投资资产，以该资产的公允价值和支付的相关税费为成本。</w:t>
      </w:r>
    </w:p>
    <w:p w14:paraId="6B8F9334" w14:textId="4D742508" w:rsidR="00CE1D41" w:rsidRPr="00CE1D41" w:rsidRDefault="00CE1D41" w:rsidP="00CE1D41">
      <w:pPr>
        <w:pStyle w:val="a5"/>
        <w:shd w:val="clear" w:color="auto" w:fill="FFFFFF"/>
        <w:spacing w:beforeLines="50" w:before="156" w:beforeAutospacing="0" w:after="0" w:afterAutospacing="0" w:line="480" w:lineRule="atLeast"/>
        <w:ind w:firstLineChars="200" w:firstLine="480"/>
        <w:jc w:val="right"/>
        <w:rPr>
          <w:color w:val="000000" w:themeColor="text1"/>
        </w:rPr>
      </w:pPr>
      <w:r w:rsidRPr="00CE1D41">
        <w:rPr>
          <w:rFonts w:hint="eastAsia"/>
          <w:color w:val="000000" w:themeColor="text1"/>
        </w:rPr>
        <w:t>（</w:t>
      </w:r>
      <w:r w:rsidR="00CB38B2">
        <w:rPr>
          <w:rFonts w:asciiTheme="minorEastAsia" w:hAnsiTheme="minorEastAsia" w:hint="eastAsia"/>
          <w:color w:val="000000" w:themeColor="text1"/>
        </w:rPr>
        <w:t>《</w:t>
      </w:r>
      <w:hyperlink r:id="rId11" w:history="1">
        <w:r w:rsidR="00CB38B2">
          <w:rPr>
            <w:rStyle w:val="a6"/>
            <w:rFonts w:asciiTheme="minorEastAsia" w:hAnsiTheme="minorEastAsia" w:hint="eastAsia"/>
          </w:rPr>
          <w:t>企业所得税法实施条例</w:t>
        </w:r>
      </w:hyperlink>
      <w:r w:rsidR="00CB38B2">
        <w:rPr>
          <w:rFonts w:asciiTheme="minorEastAsia" w:hAnsiTheme="minorEastAsia" w:hint="eastAsia"/>
          <w:color w:val="000000" w:themeColor="text1"/>
        </w:rPr>
        <w:t>》</w:t>
      </w:r>
      <w:r w:rsidRPr="00CE1D41">
        <w:rPr>
          <w:rFonts w:hint="eastAsia"/>
          <w:color w:val="000000" w:themeColor="text1"/>
        </w:rPr>
        <w:t>第七十一条第三款第二项）</w:t>
      </w:r>
    </w:p>
    <w:p w14:paraId="7E0F31DD" w14:textId="77777777" w:rsidR="00CE1D41" w:rsidRPr="00CE1D41" w:rsidRDefault="00CE1D41" w:rsidP="00CE1D41">
      <w:pPr>
        <w:pStyle w:val="1"/>
        <w:spacing w:beforeLines="50" w:before="156" w:after="0" w:line="480" w:lineRule="atLeast"/>
        <w:rPr>
          <w:color w:val="000000" w:themeColor="text1"/>
          <w:sz w:val="24"/>
          <w:szCs w:val="24"/>
        </w:rPr>
      </w:pPr>
      <w:r w:rsidRPr="00CE1D41">
        <w:rPr>
          <w:rFonts w:hint="eastAsia"/>
          <w:color w:val="000000" w:themeColor="text1"/>
          <w:sz w:val="24"/>
          <w:szCs w:val="24"/>
        </w:rPr>
        <w:t>三、后续成本计量</w:t>
      </w:r>
    </w:p>
    <w:p w14:paraId="27F8F4C8" w14:textId="77777777" w:rsidR="00CE1D41" w:rsidRPr="00CE1D41" w:rsidRDefault="00CE1D41" w:rsidP="00CE1D41">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CE1D41">
        <w:rPr>
          <w:rFonts w:ascii="宋体" w:eastAsia="宋体" w:hAnsi="宋体" w:cs="宋体" w:hint="eastAsia"/>
          <w:color w:val="000000" w:themeColor="text1"/>
          <w:kern w:val="0"/>
          <w:sz w:val="24"/>
          <w:szCs w:val="24"/>
        </w:rPr>
        <w:t>（一）被投资企业发生的经营亏损，由被投资企业按规定结转弥补；投资企业不得调整减低其投资成本，也不得将其确认为投资损失。</w:t>
      </w:r>
    </w:p>
    <w:p w14:paraId="14D35C20" w14:textId="2E9C1F98" w:rsidR="00CE1D41" w:rsidRPr="00CE1D41" w:rsidRDefault="00CE1D41" w:rsidP="00CE1D41">
      <w:pPr>
        <w:widowControl/>
        <w:spacing w:beforeLines="50" w:before="156" w:line="480" w:lineRule="atLeast"/>
        <w:ind w:firstLineChars="200" w:firstLine="480"/>
        <w:jc w:val="right"/>
        <w:rPr>
          <w:rFonts w:ascii="宋体" w:eastAsia="宋体" w:hAnsi="宋体"/>
          <w:color w:val="000000" w:themeColor="text1"/>
          <w:sz w:val="24"/>
          <w:szCs w:val="24"/>
        </w:rPr>
      </w:pPr>
      <w:r w:rsidRPr="00CE1D41">
        <w:rPr>
          <w:rFonts w:ascii="宋体" w:eastAsia="宋体" w:hAnsi="宋体" w:hint="eastAsia"/>
          <w:color w:val="000000" w:themeColor="text1"/>
          <w:sz w:val="24"/>
          <w:szCs w:val="24"/>
          <w:shd w:val="clear" w:color="auto" w:fill="FFFFFF"/>
        </w:rPr>
        <w:t>（</w:t>
      </w:r>
      <w:hyperlink r:id="rId12" w:history="1">
        <w:r w:rsidRPr="002F46C6">
          <w:rPr>
            <w:rStyle w:val="a6"/>
            <w:rFonts w:ascii="宋体" w:eastAsia="宋体" w:hAnsi="宋体" w:hint="eastAsia"/>
            <w:sz w:val="24"/>
            <w:szCs w:val="24"/>
            <w:shd w:val="clear" w:color="auto" w:fill="FFFFFF"/>
          </w:rPr>
          <w:t>国家税务总局公告2011年第34号</w:t>
        </w:r>
      </w:hyperlink>
      <w:r w:rsidRPr="00CE1D41">
        <w:rPr>
          <w:rFonts w:ascii="宋体" w:eastAsia="宋体" w:hAnsi="宋体" w:hint="eastAsia"/>
          <w:color w:val="000000" w:themeColor="text1"/>
          <w:sz w:val="24"/>
          <w:szCs w:val="24"/>
          <w:shd w:val="clear" w:color="auto" w:fill="FFFFFF"/>
        </w:rPr>
        <w:t>第五条第二款）</w:t>
      </w:r>
    </w:p>
    <w:p w14:paraId="0B81E556" w14:textId="77777777" w:rsidR="00CE1D41" w:rsidRPr="00CE1D41" w:rsidRDefault="00CE1D41" w:rsidP="00CE1D41">
      <w:pPr>
        <w:pStyle w:val="a5"/>
        <w:shd w:val="clear" w:color="auto" w:fill="FFFFFF"/>
        <w:spacing w:beforeLines="50" w:before="156" w:beforeAutospacing="0" w:after="0" w:afterAutospacing="0" w:line="480" w:lineRule="atLeast"/>
        <w:ind w:firstLineChars="200" w:firstLine="480"/>
        <w:rPr>
          <w:color w:val="000000" w:themeColor="text1"/>
        </w:rPr>
      </w:pPr>
      <w:r w:rsidRPr="00CE1D41">
        <w:rPr>
          <w:rFonts w:hint="eastAsia"/>
          <w:color w:val="000000" w:themeColor="text1"/>
        </w:rPr>
        <w:t>（二）企业在转让或者处置投资资产时，投资资产的成本，准予扣除。</w:t>
      </w:r>
    </w:p>
    <w:p w14:paraId="1147C014" w14:textId="2836620C" w:rsidR="00CE1D41" w:rsidRPr="00CE1D41" w:rsidRDefault="00CE1D41" w:rsidP="00CE1D41">
      <w:pPr>
        <w:pStyle w:val="a5"/>
        <w:spacing w:beforeLines="50" w:before="156" w:beforeAutospacing="0" w:after="0" w:afterAutospacing="0" w:line="480" w:lineRule="atLeast"/>
        <w:ind w:firstLineChars="200" w:firstLine="480"/>
        <w:jc w:val="right"/>
        <w:rPr>
          <w:color w:val="000000" w:themeColor="text1"/>
        </w:rPr>
      </w:pPr>
      <w:r w:rsidRPr="00CE1D41">
        <w:rPr>
          <w:rFonts w:hint="eastAsia"/>
          <w:color w:val="000000" w:themeColor="text1"/>
        </w:rPr>
        <w:t>（</w:t>
      </w:r>
      <w:r w:rsidR="00CB38B2">
        <w:rPr>
          <w:rFonts w:asciiTheme="minorEastAsia" w:hAnsiTheme="minorEastAsia" w:hint="eastAsia"/>
          <w:color w:val="000000" w:themeColor="text1"/>
        </w:rPr>
        <w:t>《</w:t>
      </w:r>
      <w:hyperlink r:id="rId13" w:history="1">
        <w:r w:rsidR="00CB38B2">
          <w:rPr>
            <w:rStyle w:val="a6"/>
            <w:rFonts w:asciiTheme="minorEastAsia" w:hAnsiTheme="minorEastAsia" w:hint="eastAsia"/>
          </w:rPr>
          <w:t>企业所得税法实施条例</w:t>
        </w:r>
      </w:hyperlink>
      <w:r w:rsidR="00CB38B2">
        <w:rPr>
          <w:rFonts w:asciiTheme="minorEastAsia" w:hAnsiTheme="minorEastAsia" w:hint="eastAsia"/>
          <w:color w:val="000000" w:themeColor="text1"/>
        </w:rPr>
        <w:t>》</w:t>
      </w:r>
      <w:r w:rsidRPr="00CE1D41">
        <w:rPr>
          <w:rFonts w:hint="eastAsia"/>
          <w:color w:val="000000" w:themeColor="text1"/>
        </w:rPr>
        <w:t>第七十一条第二款）</w:t>
      </w:r>
    </w:p>
    <w:p w14:paraId="08A07CB6" w14:textId="77777777" w:rsidR="00CE1D41" w:rsidRPr="00CE1D41" w:rsidRDefault="00CE1D41" w:rsidP="00CE1D41">
      <w:pPr>
        <w:pStyle w:val="2"/>
        <w:spacing w:beforeLines="50" w:before="156" w:after="0" w:line="480" w:lineRule="atLeast"/>
        <w:rPr>
          <w:color w:val="000000" w:themeColor="text1"/>
          <w:sz w:val="24"/>
          <w:szCs w:val="24"/>
        </w:rPr>
      </w:pPr>
      <w:r w:rsidRPr="00CE1D41">
        <w:rPr>
          <w:rFonts w:hint="eastAsia"/>
          <w:color w:val="000000" w:themeColor="text1"/>
          <w:sz w:val="24"/>
          <w:szCs w:val="24"/>
        </w:rPr>
        <w:lastRenderedPageBreak/>
        <w:t>附注：投资企业撤回或减少投资的税务处理</w:t>
      </w:r>
    </w:p>
    <w:p w14:paraId="0FDD0380" w14:textId="77777777" w:rsidR="00CE1D41" w:rsidRPr="00CE1D41" w:rsidRDefault="00CE1D41" w:rsidP="00CE1D41">
      <w:pPr>
        <w:widowControl/>
        <w:spacing w:beforeLines="50" w:before="156" w:line="480" w:lineRule="atLeast"/>
        <w:ind w:firstLineChars="200" w:firstLine="480"/>
        <w:jc w:val="left"/>
        <w:rPr>
          <w:rFonts w:ascii="宋体" w:eastAsia="宋体" w:hAnsi="宋体" w:cs="宋体"/>
          <w:color w:val="000000" w:themeColor="text1"/>
          <w:kern w:val="0"/>
          <w:sz w:val="24"/>
          <w:szCs w:val="24"/>
        </w:rPr>
      </w:pPr>
      <w:r w:rsidRPr="00CE1D41">
        <w:rPr>
          <w:rFonts w:ascii="宋体" w:eastAsia="宋体" w:hAnsi="宋体" w:cs="宋体" w:hint="eastAsia"/>
          <w:color w:val="000000" w:themeColor="text1"/>
          <w:kern w:val="0"/>
          <w:sz w:val="24"/>
          <w:szCs w:val="24"/>
        </w:rPr>
        <w:t>投资企业从被投资企业撤回或减少投资，其取得的资产中，相当于初始出资的部分，应确认为投资收回；相当于被投资企业累计未分配利润和累计盈余公积按减少实收资本比例计算的部分，应确认为股息所得；其余部分确认为投资资产转让所得。</w:t>
      </w:r>
    </w:p>
    <w:p w14:paraId="2CDBED83" w14:textId="0423A89A" w:rsidR="00CE1D41" w:rsidRPr="00CE1D41" w:rsidRDefault="00CE1D41" w:rsidP="00CE1D41">
      <w:pPr>
        <w:widowControl/>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E1D41">
        <w:rPr>
          <w:rFonts w:ascii="宋体" w:eastAsia="宋体" w:hAnsi="宋体" w:hint="eastAsia"/>
          <w:color w:val="000000" w:themeColor="text1"/>
          <w:sz w:val="24"/>
          <w:szCs w:val="24"/>
          <w:shd w:val="clear" w:color="auto" w:fill="FFFFFF"/>
        </w:rPr>
        <w:t>（</w:t>
      </w:r>
      <w:hyperlink r:id="rId14" w:history="1">
        <w:r w:rsidR="002F46C6" w:rsidRPr="002F46C6">
          <w:rPr>
            <w:rStyle w:val="a6"/>
            <w:rFonts w:ascii="宋体" w:eastAsia="宋体" w:hAnsi="宋体" w:hint="eastAsia"/>
            <w:sz w:val="24"/>
            <w:szCs w:val="24"/>
            <w:shd w:val="clear" w:color="auto" w:fill="FFFFFF"/>
          </w:rPr>
          <w:t>国家税务总局公告2011年第34号</w:t>
        </w:r>
      </w:hyperlink>
      <w:bookmarkStart w:id="0" w:name="_GoBack"/>
      <w:bookmarkEnd w:id="0"/>
      <w:r w:rsidRPr="00CE1D41">
        <w:rPr>
          <w:rFonts w:ascii="宋体" w:eastAsia="宋体" w:hAnsi="宋体" w:hint="eastAsia"/>
          <w:color w:val="000000" w:themeColor="text1"/>
          <w:sz w:val="24"/>
          <w:szCs w:val="24"/>
          <w:shd w:val="clear" w:color="auto" w:fill="FFFFFF"/>
        </w:rPr>
        <w:t>第五条第一款）</w:t>
      </w:r>
    </w:p>
    <w:p w14:paraId="0C339448" w14:textId="77777777" w:rsidR="00CE1D41" w:rsidRPr="00CE1D41" w:rsidRDefault="00CE1D41" w:rsidP="00CE1D41">
      <w:pPr>
        <w:pStyle w:val="a5"/>
        <w:shd w:val="clear" w:color="auto" w:fill="FFFFFF"/>
        <w:spacing w:beforeLines="50" w:before="156" w:afterLines="50" w:after="156" w:line="540" w:lineRule="atLeast"/>
        <w:ind w:firstLineChars="200" w:firstLine="480"/>
        <w:jc w:val="right"/>
        <w:rPr>
          <w:color w:val="000000" w:themeColor="text1"/>
        </w:rPr>
      </w:pPr>
    </w:p>
    <w:p w14:paraId="31CC51E5" w14:textId="77777777" w:rsidR="00CE1D41" w:rsidRPr="00CE1D41" w:rsidRDefault="00CE1D41" w:rsidP="00CE1D41">
      <w:pPr>
        <w:pStyle w:val="a5"/>
        <w:shd w:val="clear" w:color="auto" w:fill="FFFFFF"/>
        <w:spacing w:beforeLines="50" w:before="156" w:afterLines="50" w:after="156" w:line="540" w:lineRule="atLeast"/>
        <w:ind w:firstLineChars="200" w:firstLine="480"/>
        <w:rPr>
          <w:color w:val="000000" w:themeColor="text1"/>
        </w:rPr>
      </w:pPr>
    </w:p>
    <w:p w14:paraId="3DCA87F9" w14:textId="3A902BF4" w:rsidR="00F2659C" w:rsidRPr="00CE1D41" w:rsidRDefault="00F2659C" w:rsidP="000E1550">
      <w:pPr>
        <w:spacing w:beforeLines="50" w:before="156" w:line="480" w:lineRule="atLeast"/>
        <w:jc w:val="left"/>
        <w:rPr>
          <w:rFonts w:asciiTheme="minorEastAsia" w:hAnsiTheme="minorEastAsia"/>
          <w:b/>
          <w:bCs/>
          <w:color w:val="000000" w:themeColor="text1"/>
          <w:kern w:val="44"/>
          <w:sz w:val="24"/>
          <w:szCs w:val="24"/>
        </w:rPr>
      </w:pPr>
    </w:p>
    <w:p w14:paraId="47F2FD7E" w14:textId="77777777" w:rsidR="00B00122" w:rsidRPr="000E1550" w:rsidRDefault="00B00122" w:rsidP="000E1550">
      <w:pPr>
        <w:spacing w:beforeLines="50" w:before="156" w:line="480" w:lineRule="atLeast"/>
        <w:jc w:val="left"/>
        <w:rPr>
          <w:rFonts w:asciiTheme="minorEastAsia" w:hAnsiTheme="minorEastAsia"/>
          <w:color w:val="000000" w:themeColor="text1"/>
          <w:sz w:val="24"/>
          <w:szCs w:val="24"/>
        </w:rPr>
      </w:pPr>
    </w:p>
    <w:sectPr w:rsidR="00B00122" w:rsidRPr="000E1550">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F6C4D" w14:textId="77777777" w:rsidR="00447362" w:rsidRDefault="00447362" w:rsidP="008D63C6">
      <w:r>
        <w:separator/>
      </w:r>
    </w:p>
  </w:endnote>
  <w:endnote w:type="continuationSeparator" w:id="0">
    <w:p w14:paraId="45B9DD51" w14:textId="77777777" w:rsidR="00447362" w:rsidRDefault="00447362"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8D63C6" w:rsidRDefault="008D63C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F46C6">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F46C6">
              <w:rPr>
                <w:b/>
                <w:bCs/>
                <w:noProof/>
              </w:rPr>
              <w:t>2</w:t>
            </w:r>
            <w:r>
              <w:rPr>
                <w:b/>
                <w:bCs/>
                <w:sz w:val="24"/>
                <w:szCs w:val="24"/>
              </w:rPr>
              <w:fldChar w:fldCharType="end"/>
            </w:r>
          </w:p>
        </w:sdtContent>
      </w:sdt>
    </w:sdtContent>
  </w:sdt>
  <w:p w14:paraId="27157256" w14:textId="77777777" w:rsidR="008D63C6" w:rsidRDefault="008D63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2D721" w14:textId="77777777" w:rsidR="00447362" w:rsidRDefault="00447362" w:rsidP="008D63C6">
      <w:r>
        <w:separator/>
      </w:r>
    </w:p>
  </w:footnote>
  <w:footnote w:type="continuationSeparator" w:id="0">
    <w:p w14:paraId="1943EFD0" w14:textId="77777777" w:rsidR="00447362" w:rsidRDefault="00447362" w:rsidP="008D6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7EF8"/>
    <w:rsid w:val="000665B5"/>
    <w:rsid w:val="00076DF4"/>
    <w:rsid w:val="000E1550"/>
    <w:rsid w:val="000F6FDA"/>
    <w:rsid w:val="00106154"/>
    <w:rsid w:val="0012077A"/>
    <w:rsid w:val="0013371B"/>
    <w:rsid w:val="001773B2"/>
    <w:rsid w:val="00186F69"/>
    <w:rsid w:val="00204EA7"/>
    <w:rsid w:val="0023101A"/>
    <w:rsid w:val="00291A4A"/>
    <w:rsid w:val="0029286D"/>
    <w:rsid w:val="002B633B"/>
    <w:rsid w:val="002D4CDD"/>
    <w:rsid w:val="002E1AF6"/>
    <w:rsid w:val="002F46C6"/>
    <w:rsid w:val="002F50D4"/>
    <w:rsid w:val="003006A6"/>
    <w:rsid w:val="003163EC"/>
    <w:rsid w:val="00322E87"/>
    <w:rsid w:val="0034249D"/>
    <w:rsid w:val="003773C5"/>
    <w:rsid w:val="00383B73"/>
    <w:rsid w:val="00390245"/>
    <w:rsid w:val="003A3829"/>
    <w:rsid w:val="003A3D20"/>
    <w:rsid w:val="003B416B"/>
    <w:rsid w:val="003E2AB9"/>
    <w:rsid w:val="003E7611"/>
    <w:rsid w:val="0040440C"/>
    <w:rsid w:val="004271D7"/>
    <w:rsid w:val="00436054"/>
    <w:rsid w:val="00447362"/>
    <w:rsid w:val="00462FF2"/>
    <w:rsid w:val="004B6E8F"/>
    <w:rsid w:val="005111C0"/>
    <w:rsid w:val="00541A26"/>
    <w:rsid w:val="005B13D2"/>
    <w:rsid w:val="005D00CA"/>
    <w:rsid w:val="00604838"/>
    <w:rsid w:val="006309F4"/>
    <w:rsid w:val="00670E0F"/>
    <w:rsid w:val="00672948"/>
    <w:rsid w:val="006832D0"/>
    <w:rsid w:val="0068405A"/>
    <w:rsid w:val="006979BE"/>
    <w:rsid w:val="006A6936"/>
    <w:rsid w:val="006E3156"/>
    <w:rsid w:val="007273FC"/>
    <w:rsid w:val="00740A21"/>
    <w:rsid w:val="00751B4A"/>
    <w:rsid w:val="00782523"/>
    <w:rsid w:val="00836465"/>
    <w:rsid w:val="00846BFB"/>
    <w:rsid w:val="00867863"/>
    <w:rsid w:val="008A13A6"/>
    <w:rsid w:val="008A4B70"/>
    <w:rsid w:val="008D63C6"/>
    <w:rsid w:val="008F4E32"/>
    <w:rsid w:val="009524C2"/>
    <w:rsid w:val="00990092"/>
    <w:rsid w:val="009E18C9"/>
    <w:rsid w:val="00A1440A"/>
    <w:rsid w:val="00A27AE2"/>
    <w:rsid w:val="00A73CD1"/>
    <w:rsid w:val="00A91435"/>
    <w:rsid w:val="00AA70A7"/>
    <w:rsid w:val="00AC3F64"/>
    <w:rsid w:val="00AC536B"/>
    <w:rsid w:val="00AD0622"/>
    <w:rsid w:val="00AF5778"/>
    <w:rsid w:val="00AF798D"/>
    <w:rsid w:val="00B00122"/>
    <w:rsid w:val="00B16CF6"/>
    <w:rsid w:val="00BD0510"/>
    <w:rsid w:val="00BF3704"/>
    <w:rsid w:val="00C30CE5"/>
    <w:rsid w:val="00C31DC2"/>
    <w:rsid w:val="00C56DB0"/>
    <w:rsid w:val="00C56E20"/>
    <w:rsid w:val="00C83F5C"/>
    <w:rsid w:val="00CB38B2"/>
    <w:rsid w:val="00CE17B0"/>
    <w:rsid w:val="00CE1D41"/>
    <w:rsid w:val="00CF048A"/>
    <w:rsid w:val="00D206C3"/>
    <w:rsid w:val="00D30FE2"/>
    <w:rsid w:val="00D42F41"/>
    <w:rsid w:val="00D505A2"/>
    <w:rsid w:val="00D72B80"/>
    <w:rsid w:val="00D92BFA"/>
    <w:rsid w:val="00DB24DC"/>
    <w:rsid w:val="00DB566A"/>
    <w:rsid w:val="00DC0CBB"/>
    <w:rsid w:val="00DD3625"/>
    <w:rsid w:val="00DE6113"/>
    <w:rsid w:val="00DF2592"/>
    <w:rsid w:val="00DF51FF"/>
    <w:rsid w:val="00E22101"/>
    <w:rsid w:val="00E54CBE"/>
    <w:rsid w:val="00EA120E"/>
    <w:rsid w:val="00EF1B16"/>
    <w:rsid w:val="00EF428D"/>
    <w:rsid w:val="00F03A07"/>
    <w:rsid w:val="00F0630D"/>
    <w:rsid w:val="00F12A62"/>
    <w:rsid w:val="00F2659C"/>
    <w:rsid w:val="00F51D5A"/>
    <w:rsid w:val="00F57C18"/>
    <w:rsid w:val="00FA3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customStyle="1" w:styleId="UnresolvedMention">
    <w:name w:val="Unresolved Mention"/>
    <w:basedOn w:val="a0"/>
    <w:uiPriority w:val="99"/>
    <w:semiHidden/>
    <w:unhideWhenUsed/>
    <w:rsid w:val="00CB38B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customStyle="1" w:styleId="UnresolvedMention">
    <w:name w:val="Unresolved Mention"/>
    <w:basedOn w:val="a0"/>
    <w:uiPriority w:val="99"/>
    <w:semiHidden/>
    <w:unhideWhenUsed/>
    <w:rsid w:val="00CB3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083.html" TargetMode="External"/><Relationship Id="rId13" Type="http://schemas.openxmlformats.org/officeDocument/2006/relationships/hyperlink" Target="http://ssfb86.com/index/News/detail/newsid/7083.html" TargetMode="External"/><Relationship Id="rId3" Type="http://schemas.openxmlformats.org/officeDocument/2006/relationships/settings" Target="settings.xml"/><Relationship Id="rId7" Type="http://schemas.openxmlformats.org/officeDocument/2006/relationships/hyperlink" Target="http://ssfb86.com/index/News/detail/newsid/575.html" TargetMode="External"/><Relationship Id="rId12" Type="http://schemas.openxmlformats.org/officeDocument/2006/relationships/hyperlink" Target="http://ssfb86.com/index/News/detail/newsid/1737.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7083.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fb86.com/index/News/detail/newsid/7083.html" TargetMode="External"/><Relationship Id="rId4" Type="http://schemas.openxmlformats.org/officeDocument/2006/relationships/webSettings" Target="webSettings.xml"/><Relationship Id="rId9" Type="http://schemas.openxmlformats.org/officeDocument/2006/relationships/hyperlink" Target="http://ssfb86.com/index/News/detail/newsid/7083.html" TargetMode="External"/><Relationship Id="rId14" Type="http://schemas.openxmlformats.org/officeDocument/2006/relationships/hyperlink" Target="http://ssfb86.com/index/News/detail/newsid/173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9</cp:revision>
  <dcterms:created xsi:type="dcterms:W3CDTF">2020-07-06T10:03:00Z</dcterms:created>
  <dcterms:modified xsi:type="dcterms:W3CDTF">2020-10-11T12:41:00Z</dcterms:modified>
</cp:coreProperties>
</file>