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47060091"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A91435">
        <w:rPr>
          <w:rFonts w:asciiTheme="minorEastAsia" w:hAnsiTheme="minorEastAsia"/>
          <w:sz w:val="44"/>
          <w:szCs w:val="44"/>
        </w:rPr>
        <w:t>4.</w:t>
      </w:r>
      <w:r w:rsidR="00143735">
        <w:rPr>
          <w:rFonts w:asciiTheme="minorEastAsia" w:hAnsiTheme="minorEastAsia"/>
          <w:sz w:val="44"/>
          <w:szCs w:val="44"/>
        </w:rPr>
        <w:t>7.</w:t>
      </w:r>
      <w:r w:rsidR="00B33E8A">
        <w:rPr>
          <w:rFonts w:asciiTheme="minorEastAsia" w:hAnsiTheme="minorEastAsia"/>
          <w:sz w:val="44"/>
          <w:szCs w:val="44"/>
        </w:rPr>
        <w:t>2</w:t>
      </w:r>
      <w:r w:rsidR="008D63C6" w:rsidRPr="00740A21">
        <w:rPr>
          <w:rFonts w:asciiTheme="minorEastAsia" w:hAnsiTheme="minorEastAsia"/>
          <w:sz w:val="44"/>
          <w:szCs w:val="44"/>
        </w:rPr>
        <w:t xml:space="preserve">  </w:t>
      </w:r>
      <w:r w:rsidR="00B33E8A" w:rsidRPr="00B33E8A">
        <w:rPr>
          <w:rFonts w:asciiTheme="minorEastAsia" w:hAnsiTheme="minorEastAsia" w:hint="eastAsia"/>
          <w:sz w:val="44"/>
          <w:szCs w:val="44"/>
        </w:rPr>
        <w:t>中小企业融资(信用)担保机构</w:t>
      </w:r>
    </w:p>
    <w:p w14:paraId="464582DA" w14:textId="140334B8" w:rsidR="000E1550" w:rsidRDefault="000E1550" w:rsidP="000E1550">
      <w:pPr>
        <w:spacing w:beforeLines="50" w:before="156" w:line="480" w:lineRule="atLeast"/>
        <w:jc w:val="left"/>
        <w:rPr>
          <w:rFonts w:asciiTheme="minorEastAsia" w:hAnsiTheme="minorEastAsia" w:hint="eastAsia"/>
          <w:b/>
          <w:bCs/>
          <w:kern w:val="44"/>
          <w:sz w:val="24"/>
          <w:szCs w:val="24"/>
        </w:rPr>
      </w:pPr>
    </w:p>
    <w:p w14:paraId="1A7E516E" w14:textId="10BE20F8" w:rsidR="004D2FA4" w:rsidRPr="004D2FA4" w:rsidRDefault="004D2FA4" w:rsidP="004D2FA4">
      <w:pPr>
        <w:spacing w:beforeLines="50" w:before="156" w:line="480" w:lineRule="atLeast"/>
        <w:ind w:firstLineChars="200" w:firstLine="480"/>
        <w:jc w:val="left"/>
        <w:rPr>
          <w:rFonts w:asciiTheme="minorEastAsia" w:hAnsiTheme="minorEastAsia"/>
          <w:b/>
          <w:bCs/>
          <w:kern w:val="44"/>
          <w:sz w:val="24"/>
          <w:szCs w:val="24"/>
        </w:rPr>
      </w:pPr>
      <w:r w:rsidRPr="004D2FA4">
        <w:rPr>
          <w:rFonts w:hint="eastAsia"/>
          <w:color w:val="333333"/>
          <w:sz w:val="24"/>
          <w:szCs w:val="24"/>
          <w:shd w:val="clear" w:color="auto" w:fill="FFFFFF"/>
        </w:rPr>
        <w:t>根据《</w:t>
      </w:r>
      <w:hyperlink r:id="rId8" w:tgtFrame="_self" w:history="1">
        <w:r w:rsidRPr="004D2FA4">
          <w:rPr>
            <w:rFonts w:hint="eastAsia"/>
            <w:color w:val="6E6E6E"/>
            <w:sz w:val="24"/>
            <w:szCs w:val="24"/>
            <w:u w:val="single"/>
            <w:shd w:val="clear" w:color="auto" w:fill="FFFFFF"/>
          </w:rPr>
          <w:t>中华人民共和国企业所得税法</w:t>
        </w:r>
      </w:hyperlink>
      <w:r w:rsidRPr="004D2FA4">
        <w:rPr>
          <w:rFonts w:hint="eastAsia"/>
          <w:color w:val="333333"/>
          <w:sz w:val="24"/>
          <w:szCs w:val="24"/>
          <w:shd w:val="clear" w:color="auto" w:fill="FFFFFF"/>
        </w:rPr>
        <w:t>》和《</w:t>
      </w:r>
      <w:hyperlink r:id="rId9" w:tgtFrame="_self" w:history="1">
        <w:r w:rsidRPr="004D2FA4">
          <w:rPr>
            <w:rFonts w:hint="eastAsia"/>
            <w:color w:val="6E6E6E"/>
            <w:sz w:val="24"/>
            <w:szCs w:val="24"/>
            <w:u w:val="single"/>
            <w:shd w:val="clear" w:color="auto" w:fill="FFFFFF"/>
          </w:rPr>
          <w:t>中华人民共和国企业所得税法实施条例</w:t>
        </w:r>
      </w:hyperlink>
      <w:r w:rsidRPr="004D2FA4">
        <w:rPr>
          <w:rFonts w:hint="eastAsia"/>
          <w:color w:val="333333"/>
          <w:sz w:val="24"/>
          <w:szCs w:val="24"/>
          <w:shd w:val="clear" w:color="auto" w:fill="FFFFFF"/>
        </w:rPr>
        <w:t>》的有关规定，现就中小企业融资</w:t>
      </w:r>
      <w:r w:rsidRPr="004D2FA4">
        <w:rPr>
          <w:rFonts w:hint="eastAsia"/>
          <w:color w:val="333333"/>
          <w:sz w:val="24"/>
          <w:szCs w:val="24"/>
          <w:shd w:val="clear" w:color="auto" w:fill="FFFFFF"/>
        </w:rPr>
        <w:t>(</w:t>
      </w:r>
      <w:r w:rsidRPr="004D2FA4">
        <w:rPr>
          <w:rFonts w:hint="eastAsia"/>
          <w:color w:val="333333"/>
          <w:sz w:val="24"/>
          <w:szCs w:val="24"/>
          <w:shd w:val="clear" w:color="auto" w:fill="FFFFFF"/>
        </w:rPr>
        <w:t>信用</w:t>
      </w:r>
      <w:r w:rsidRPr="004D2FA4">
        <w:rPr>
          <w:rFonts w:hint="eastAsia"/>
          <w:color w:val="333333"/>
          <w:sz w:val="24"/>
          <w:szCs w:val="24"/>
          <w:shd w:val="clear" w:color="auto" w:fill="FFFFFF"/>
        </w:rPr>
        <w:t>)</w:t>
      </w:r>
      <w:r w:rsidRPr="004D2FA4">
        <w:rPr>
          <w:rFonts w:hint="eastAsia"/>
          <w:color w:val="333333"/>
          <w:sz w:val="24"/>
          <w:szCs w:val="24"/>
          <w:shd w:val="clear" w:color="auto" w:fill="FFFFFF"/>
        </w:rPr>
        <w:t>担保机构有关准备金企业所得税税前扣除政策问题通知如下：</w:t>
      </w:r>
    </w:p>
    <w:p w14:paraId="580CBC13" w14:textId="77777777" w:rsidR="00B33E8A" w:rsidRPr="00B33E8A" w:rsidRDefault="00B33E8A" w:rsidP="00B33E8A">
      <w:pPr>
        <w:pStyle w:val="1"/>
        <w:spacing w:beforeLines="50" w:before="156" w:after="0" w:line="480" w:lineRule="atLeast"/>
        <w:rPr>
          <w:sz w:val="24"/>
          <w:szCs w:val="24"/>
        </w:rPr>
      </w:pPr>
      <w:r w:rsidRPr="00B33E8A">
        <w:rPr>
          <w:rFonts w:hint="eastAsia"/>
          <w:sz w:val="24"/>
          <w:szCs w:val="24"/>
        </w:rPr>
        <w:t>一、政策内容</w:t>
      </w:r>
    </w:p>
    <w:p w14:paraId="7B97FAC4" w14:textId="77777777" w:rsidR="00B33E8A" w:rsidRPr="00B33E8A" w:rsidRDefault="00B33E8A" w:rsidP="00B33E8A">
      <w:pPr>
        <w:pStyle w:val="2"/>
        <w:spacing w:beforeLines="50" w:before="156" w:after="0" w:line="480" w:lineRule="atLeast"/>
        <w:rPr>
          <w:sz w:val="24"/>
          <w:szCs w:val="24"/>
        </w:rPr>
      </w:pPr>
      <w:r w:rsidRPr="00B33E8A">
        <w:rPr>
          <w:rFonts w:hint="eastAsia"/>
          <w:sz w:val="24"/>
          <w:szCs w:val="24"/>
        </w:rPr>
        <w:t>（一）担保赔偿准备</w:t>
      </w:r>
    </w:p>
    <w:p w14:paraId="107C378E" w14:textId="77777777" w:rsidR="00B33E8A" w:rsidRPr="00B33E8A"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符合条件的中小企业融资(信用)担保机构按照不超过当年年末</w:t>
      </w:r>
      <w:r w:rsidRPr="00B33E8A">
        <w:rPr>
          <w:rFonts w:hint="eastAsia"/>
          <w:b/>
          <w:color w:val="000000" w:themeColor="text1"/>
        </w:rPr>
        <w:t>担保责任余额1%</w:t>
      </w:r>
      <w:r w:rsidRPr="00B33E8A">
        <w:rPr>
          <w:rFonts w:hint="eastAsia"/>
          <w:color w:val="000000" w:themeColor="text1"/>
        </w:rPr>
        <w:t>的比例计提的担保赔偿准备，允许在企业所得税税前扣除，同时将上年度计提的担保赔偿准备余额转为当期收入。</w:t>
      </w:r>
    </w:p>
    <w:p w14:paraId="086BE9ED" w14:textId="288781B8" w:rsidR="00B33E8A" w:rsidRPr="00B33E8A" w:rsidRDefault="00B33E8A" w:rsidP="00B33E8A">
      <w:pPr>
        <w:spacing w:beforeLines="50" w:before="156" w:line="480" w:lineRule="atLeast"/>
        <w:jc w:val="right"/>
        <w:rPr>
          <w:rFonts w:ascii="宋体" w:eastAsia="宋体" w:hAnsi="宋体"/>
          <w:color w:val="000000" w:themeColor="text1"/>
          <w:sz w:val="24"/>
          <w:szCs w:val="24"/>
        </w:rPr>
      </w:pPr>
      <w:bookmarkStart w:id="0" w:name="_Hlk13551460"/>
      <w:r w:rsidRPr="00B33E8A">
        <w:rPr>
          <w:rFonts w:ascii="宋体" w:eastAsia="宋体" w:hAnsi="宋体" w:hint="eastAsia"/>
          <w:color w:val="000000" w:themeColor="text1"/>
          <w:sz w:val="24"/>
          <w:szCs w:val="24"/>
        </w:rPr>
        <w:t>（</w:t>
      </w:r>
      <w:hyperlink r:id="rId10" w:history="1">
        <w:r w:rsidRPr="004D2FA4">
          <w:rPr>
            <w:rStyle w:val="a6"/>
            <w:rFonts w:ascii="宋体" w:eastAsia="宋体" w:hAnsi="宋体" w:hint="eastAsia"/>
            <w:sz w:val="24"/>
            <w:szCs w:val="24"/>
          </w:rPr>
          <w:t>财税〔2017〕22号</w:t>
        </w:r>
      </w:hyperlink>
      <w:r w:rsidRPr="00B33E8A">
        <w:rPr>
          <w:rFonts w:ascii="宋体" w:eastAsia="宋体" w:hAnsi="宋体" w:hint="eastAsia"/>
          <w:color w:val="000000" w:themeColor="text1"/>
          <w:sz w:val="24"/>
          <w:szCs w:val="24"/>
        </w:rPr>
        <w:t>第一条）</w:t>
      </w:r>
    </w:p>
    <w:bookmarkEnd w:id="0"/>
    <w:p w14:paraId="2EF9EA70" w14:textId="77777777" w:rsidR="00B33E8A" w:rsidRPr="00B33E8A" w:rsidRDefault="00B33E8A" w:rsidP="00B33E8A">
      <w:pPr>
        <w:pStyle w:val="2"/>
        <w:spacing w:beforeLines="50" w:before="156" w:after="0" w:line="480" w:lineRule="atLeast"/>
        <w:rPr>
          <w:sz w:val="24"/>
          <w:szCs w:val="24"/>
        </w:rPr>
      </w:pPr>
      <w:r w:rsidRPr="00B33E8A">
        <w:rPr>
          <w:rFonts w:hint="eastAsia"/>
          <w:sz w:val="24"/>
          <w:szCs w:val="24"/>
        </w:rPr>
        <w:t>（二）未到期责任准备</w:t>
      </w:r>
    </w:p>
    <w:p w14:paraId="44A38D26" w14:textId="77777777" w:rsidR="00B33E8A" w:rsidRPr="00B33E8A"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符合条件的中小企业融资(信用)担保机构按照不超过</w:t>
      </w:r>
      <w:r w:rsidRPr="00B33E8A">
        <w:rPr>
          <w:rFonts w:hint="eastAsia"/>
          <w:b/>
          <w:color w:val="000000" w:themeColor="text1"/>
        </w:rPr>
        <w:t>当年担保费收</w:t>
      </w:r>
      <w:r w:rsidRPr="00B33E8A">
        <w:rPr>
          <w:rFonts w:hint="eastAsia"/>
          <w:color w:val="000000" w:themeColor="text1"/>
        </w:rPr>
        <w:t>入50%的比例计提的未到期责任准备，允许在企业所得税税前扣除，同时将上年度计提的未到期责任准备余额转为当期收入。</w:t>
      </w:r>
    </w:p>
    <w:p w14:paraId="516AC910" w14:textId="3EC70F64" w:rsidR="00B33E8A" w:rsidRPr="00B33E8A" w:rsidRDefault="00B33E8A" w:rsidP="00B33E8A">
      <w:pPr>
        <w:spacing w:beforeLines="50" w:before="156" w:line="480" w:lineRule="atLeast"/>
        <w:jc w:val="right"/>
        <w:rPr>
          <w:rFonts w:ascii="宋体" w:eastAsia="宋体" w:hAnsi="宋体"/>
          <w:color w:val="000000" w:themeColor="text1"/>
          <w:sz w:val="24"/>
          <w:szCs w:val="24"/>
        </w:rPr>
      </w:pPr>
      <w:r w:rsidRPr="00B33E8A">
        <w:rPr>
          <w:rFonts w:ascii="宋体" w:eastAsia="宋体" w:hAnsi="宋体" w:hint="eastAsia"/>
          <w:color w:val="000000" w:themeColor="text1"/>
          <w:sz w:val="24"/>
          <w:szCs w:val="24"/>
        </w:rPr>
        <w:t>（</w:t>
      </w:r>
      <w:hyperlink r:id="rId11" w:history="1">
        <w:r w:rsidR="004D2FA4" w:rsidRPr="004D2FA4">
          <w:rPr>
            <w:rStyle w:val="a6"/>
            <w:rFonts w:ascii="宋体" w:eastAsia="宋体" w:hAnsi="宋体" w:hint="eastAsia"/>
            <w:sz w:val="24"/>
            <w:szCs w:val="24"/>
          </w:rPr>
          <w:t>财税〔2017〕22号</w:t>
        </w:r>
      </w:hyperlink>
      <w:r w:rsidRPr="00B33E8A">
        <w:rPr>
          <w:rFonts w:ascii="宋体" w:eastAsia="宋体" w:hAnsi="宋体" w:hint="eastAsia"/>
          <w:color w:val="000000" w:themeColor="text1"/>
          <w:sz w:val="24"/>
          <w:szCs w:val="24"/>
        </w:rPr>
        <w:t>第二条）</w:t>
      </w:r>
    </w:p>
    <w:p w14:paraId="08B057FD" w14:textId="77777777" w:rsidR="00B33E8A" w:rsidRPr="00B33E8A" w:rsidRDefault="00B33E8A" w:rsidP="00B33E8A">
      <w:pPr>
        <w:pStyle w:val="2"/>
        <w:spacing w:beforeLines="50" w:before="156" w:after="0" w:line="480" w:lineRule="atLeast"/>
        <w:rPr>
          <w:sz w:val="24"/>
          <w:szCs w:val="24"/>
        </w:rPr>
      </w:pPr>
      <w:r w:rsidRPr="00B33E8A">
        <w:rPr>
          <w:rFonts w:hint="eastAsia"/>
          <w:sz w:val="24"/>
          <w:szCs w:val="24"/>
        </w:rPr>
        <w:t>附注：代偿损失的处理</w:t>
      </w:r>
    </w:p>
    <w:p w14:paraId="702C2AF9" w14:textId="77777777" w:rsidR="00B33E8A" w:rsidRPr="00B33E8A"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中小企业融资(信用)担保机构实际发生的代偿损失，符合税收法律法规关于资产损失税前扣除政策规定的，应冲减已在税前扣除的担保赔偿准备，不足冲减部分据实在企业所得税税前扣除。</w:t>
      </w:r>
    </w:p>
    <w:p w14:paraId="697976C9" w14:textId="09265337" w:rsidR="00B33E8A" w:rsidRPr="00B33E8A" w:rsidRDefault="00B33E8A" w:rsidP="00B33E8A">
      <w:pPr>
        <w:spacing w:beforeLines="50" w:before="156" w:line="480" w:lineRule="atLeast"/>
        <w:jc w:val="right"/>
        <w:rPr>
          <w:rFonts w:ascii="宋体" w:eastAsia="宋体" w:hAnsi="宋体"/>
          <w:color w:val="000000" w:themeColor="text1"/>
          <w:sz w:val="24"/>
          <w:szCs w:val="24"/>
        </w:rPr>
      </w:pPr>
      <w:r w:rsidRPr="00B33E8A">
        <w:rPr>
          <w:rFonts w:ascii="宋体" w:eastAsia="宋体" w:hAnsi="宋体" w:hint="eastAsia"/>
          <w:color w:val="000000" w:themeColor="text1"/>
          <w:sz w:val="24"/>
          <w:szCs w:val="24"/>
        </w:rPr>
        <w:t>（</w:t>
      </w:r>
      <w:hyperlink r:id="rId12" w:history="1">
        <w:r w:rsidR="004D2FA4" w:rsidRPr="004D2FA4">
          <w:rPr>
            <w:rStyle w:val="a6"/>
            <w:rFonts w:ascii="宋体" w:eastAsia="宋体" w:hAnsi="宋体" w:hint="eastAsia"/>
            <w:sz w:val="24"/>
            <w:szCs w:val="24"/>
          </w:rPr>
          <w:t>财税〔2017〕22号</w:t>
        </w:r>
      </w:hyperlink>
      <w:r w:rsidRPr="00B33E8A">
        <w:rPr>
          <w:rFonts w:ascii="宋体" w:eastAsia="宋体" w:hAnsi="宋体" w:hint="eastAsia"/>
          <w:color w:val="000000" w:themeColor="text1"/>
          <w:sz w:val="24"/>
          <w:szCs w:val="24"/>
        </w:rPr>
        <w:t>第三条）</w:t>
      </w:r>
    </w:p>
    <w:p w14:paraId="73CEDF3F" w14:textId="77777777" w:rsidR="00B33E8A" w:rsidRPr="00B33E8A" w:rsidRDefault="00B33E8A" w:rsidP="00B33E8A">
      <w:pPr>
        <w:pStyle w:val="1"/>
        <w:spacing w:beforeLines="50" w:before="156" w:after="0" w:line="480" w:lineRule="atLeast"/>
        <w:rPr>
          <w:sz w:val="24"/>
          <w:szCs w:val="24"/>
        </w:rPr>
      </w:pPr>
      <w:r w:rsidRPr="00B33E8A">
        <w:rPr>
          <w:rFonts w:hint="eastAsia"/>
          <w:sz w:val="24"/>
          <w:szCs w:val="24"/>
        </w:rPr>
        <w:lastRenderedPageBreak/>
        <w:t>二、适用条件</w:t>
      </w:r>
    </w:p>
    <w:p w14:paraId="6257791C" w14:textId="77777777" w:rsidR="00B33E8A" w:rsidRPr="00B33E8A"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本通知所称符合条件的中小企业融资(信用)担保机构，必须同时满足以下条件：</w:t>
      </w:r>
    </w:p>
    <w:p w14:paraId="50CDFF83" w14:textId="77777777" w:rsidR="00B33E8A" w:rsidRPr="00B33E8A"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（一）符合《融资性担保公司管理暂行办法》（银监会等七部委令2010年第3号）相关规定，并具有融资性担保机构监管部门颁发的经营许可证；</w:t>
      </w:r>
    </w:p>
    <w:p w14:paraId="09D0245A" w14:textId="77A1325C" w:rsidR="00B33E8A" w:rsidRPr="00B33E8A" w:rsidRDefault="00B33E8A" w:rsidP="00B33E8A">
      <w:pPr>
        <w:spacing w:beforeLines="50" w:before="156" w:line="480" w:lineRule="atLeast"/>
        <w:jc w:val="right"/>
        <w:rPr>
          <w:rFonts w:ascii="宋体" w:eastAsia="宋体" w:hAnsi="宋体"/>
          <w:color w:val="000000" w:themeColor="text1"/>
          <w:sz w:val="24"/>
          <w:szCs w:val="24"/>
        </w:rPr>
      </w:pPr>
      <w:bookmarkStart w:id="1" w:name="_Hlk13551488"/>
      <w:r w:rsidRPr="00B33E8A">
        <w:rPr>
          <w:rFonts w:ascii="宋体" w:eastAsia="宋体" w:hAnsi="宋体" w:hint="eastAsia"/>
          <w:color w:val="000000" w:themeColor="text1"/>
          <w:sz w:val="24"/>
          <w:szCs w:val="24"/>
        </w:rPr>
        <w:t>（</w:t>
      </w:r>
      <w:hyperlink r:id="rId13" w:history="1">
        <w:r w:rsidR="004D2FA4" w:rsidRPr="004D2FA4">
          <w:rPr>
            <w:rStyle w:val="a6"/>
            <w:rFonts w:ascii="宋体" w:eastAsia="宋体" w:hAnsi="宋体" w:hint="eastAsia"/>
            <w:sz w:val="24"/>
            <w:szCs w:val="24"/>
          </w:rPr>
          <w:t>财税〔2017〕22号</w:t>
        </w:r>
      </w:hyperlink>
      <w:r w:rsidRPr="00B33E8A">
        <w:rPr>
          <w:rFonts w:ascii="宋体" w:eastAsia="宋体" w:hAnsi="宋体" w:hint="eastAsia"/>
          <w:color w:val="000000" w:themeColor="text1"/>
          <w:sz w:val="24"/>
          <w:szCs w:val="24"/>
        </w:rPr>
        <w:t>第四条第一款）</w:t>
      </w:r>
    </w:p>
    <w:bookmarkEnd w:id="1"/>
    <w:p w14:paraId="110F496B" w14:textId="77777777" w:rsidR="00B33E8A" w:rsidRPr="00B33E8A"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（二）以中小企业为主要服务对象，当年中小企业信用担保业务和再担保业务发生额占当年信用担保业务发生总额的70%以上（上述收入不包括信用评级、咨询、培训等收入）；</w:t>
      </w:r>
    </w:p>
    <w:p w14:paraId="1280549B" w14:textId="4B531A11" w:rsidR="00B33E8A" w:rsidRPr="00B33E8A" w:rsidRDefault="00B33E8A" w:rsidP="00B33E8A">
      <w:pPr>
        <w:spacing w:beforeLines="50" w:before="156" w:line="480" w:lineRule="atLeast"/>
        <w:jc w:val="right"/>
        <w:rPr>
          <w:rFonts w:ascii="宋体" w:eastAsia="宋体" w:hAnsi="宋体"/>
          <w:color w:val="000000" w:themeColor="text1"/>
          <w:sz w:val="24"/>
          <w:szCs w:val="24"/>
        </w:rPr>
      </w:pPr>
      <w:r w:rsidRPr="00B33E8A">
        <w:rPr>
          <w:rFonts w:ascii="宋体" w:eastAsia="宋体" w:hAnsi="宋体" w:hint="eastAsia"/>
          <w:color w:val="000000" w:themeColor="text1"/>
          <w:sz w:val="24"/>
          <w:szCs w:val="24"/>
        </w:rPr>
        <w:t>（</w:t>
      </w:r>
      <w:hyperlink r:id="rId14" w:history="1">
        <w:r w:rsidR="004D2FA4" w:rsidRPr="004D2FA4">
          <w:rPr>
            <w:rStyle w:val="a6"/>
            <w:rFonts w:ascii="宋体" w:eastAsia="宋体" w:hAnsi="宋体" w:hint="eastAsia"/>
            <w:sz w:val="24"/>
            <w:szCs w:val="24"/>
          </w:rPr>
          <w:t>财税〔2017〕22号</w:t>
        </w:r>
      </w:hyperlink>
      <w:r w:rsidRPr="00B33E8A">
        <w:rPr>
          <w:rFonts w:ascii="宋体" w:eastAsia="宋体" w:hAnsi="宋体" w:hint="eastAsia"/>
          <w:color w:val="000000" w:themeColor="text1"/>
          <w:sz w:val="24"/>
          <w:szCs w:val="24"/>
        </w:rPr>
        <w:t>第四条第二款）</w:t>
      </w:r>
    </w:p>
    <w:p w14:paraId="603A83C4" w14:textId="77777777" w:rsidR="00B33E8A" w:rsidRPr="00B33E8A"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（三）中小企业融资担保业务的平均年担保费率不超过银行同期贷款基准利率的50%；</w:t>
      </w:r>
    </w:p>
    <w:p w14:paraId="3FDDDEA7" w14:textId="1DCA9CA9" w:rsidR="00B33E8A" w:rsidRPr="00B33E8A" w:rsidRDefault="00B33E8A" w:rsidP="00B33E8A">
      <w:pPr>
        <w:spacing w:beforeLines="50" w:before="156" w:line="480" w:lineRule="atLeast"/>
        <w:jc w:val="right"/>
        <w:rPr>
          <w:rFonts w:ascii="宋体" w:eastAsia="宋体" w:hAnsi="宋体"/>
          <w:color w:val="000000" w:themeColor="text1"/>
          <w:sz w:val="24"/>
          <w:szCs w:val="24"/>
        </w:rPr>
      </w:pPr>
      <w:r w:rsidRPr="00B33E8A">
        <w:rPr>
          <w:rFonts w:ascii="宋体" w:eastAsia="宋体" w:hAnsi="宋体" w:hint="eastAsia"/>
          <w:color w:val="000000" w:themeColor="text1"/>
          <w:sz w:val="24"/>
          <w:szCs w:val="24"/>
        </w:rPr>
        <w:t>（</w:t>
      </w:r>
      <w:hyperlink r:id="rId15" w:history="1">
        <w:r w:rsidR="004D2FA4" w:rsidRPr="004D2FA4">
          <w:rPr>
            <w:rStyle w:val="a6"/>
            <w:rFonts w:ascii="宋体" w:eastAsia="宋体" w:hAnsi="宋体" w:hint="eastAsia"/>
            <w:sz w:val="24"/>
            <w:szCs w:val="24"/>
          </w:rPr>
          <w:t>财税〔2017〕22号</w:t>
        </w:r>
      </w:hyperlink>
      <w:r w:rsidRPr="00B33E8A">
        <w:rPr>
          <w:rFonts w:ascii="宋体" w:eastAsia="宋体" w:hAnsi="宋体" w:hint="eastAsia"/>
          <w:color w:val="000000" w:themeColor="text1"/>
          <w:sz w:val="24"/>
          <w:szCs w:val="24"/>
        </w:rPr>
        <w:t>第四条第三款）</w:t>
      </w:r>
    </w:p>
    <w:p w14:paraId="3DB38E73" w14:textId="77777777" w:rsidR="00B33E8A" w:rsidRPr="00B33E8A"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（四）财政、税务部门规定的其他条件。</w:t>
      </w:r>
    </w:p>
    <w:p w14:paraId="2C6CAD31" w14:textId="7DAF3DD0" w:rsidR="00B33E8A" w:rsidRPr="00B33E8A" w:rsidRDefault="00B33E8A" w:rsidP="00B33E8A">
      <w:pPr>
        <w:spacing w:beforeLines="50" w:before="156" w:line="480" w:lineRule="atLeast"/>
        <w:jc w:val="right"/>
        <w:rPr>
          <w:rFonts w:ascii="宋体" w:eastAsia="宋体" w:hAnsi="宋体"/>
          <w:color w:val="000000" w:themeColor="text1"/>
          <w:sz w:val="24"/>
          <w:szCs w:val="24"/>
        </w:rPr>
      </w:pPr>
      <w:r w:rsidRPr="00B33E8A">
        <w:rPr>
          <w:rFonts w:ascii="宋体" w:eastAsia="宋体" w:hAnsi="宋体" w:hint="eastAsia"/>
          <w:color w:val="000000" w:themeColor="text1"/>
          <w:sz w:val="24"/>
          <w:szCs w:val="24"/>
        </w:rPr>
        <w:t>（</w:t>
      </w:r>
      <w:hyperlink r:id="rId16" w:history="1">
        <w:r w:rsidR="004D2FA4" w:rsidRPr="004D2FA4">
          <w:rPr>
            <w:rStyle w:val="a6"/>
            <w:rFonts w:ascii="宋体" w:eastAsia="宋体" w:hAnsi="宋体" w:hint="eastAsia"/>
            <w:sz w:val="24"/>
            <w:szCs w:val="24"/>
          </w:rPr>
          <w:t>财税〔2017〕22号</w:t>
        </w:r>
      </w:hyperlink>
      <w:r w:rsidRPr="00B33E8A">
        <w:rPr>
          <w:rFonts w:ascii="宋体" w:eastAsia="宋体" w:hAnsi="宋体" w:hint="eastAsia"/>
          <w:color w:val="000000" w:themeColor="text1"/>
          <w:sz w:val="24"/>
          <w:szCs w:val="24"/>
        </w:rPr>
        <w:t>第四条第四款）</w:t>
      </w:r>
    </w:p>
    <w:p w14:paraId="603CFB5A" w14:textId="77777777" w:rsidR="00B33E8A" w:rsidRPr="00B33E8A" w:rsidRDefault="00B33E8A" w:rsidP="00B33E8A">
      <w:pPr>
        <w:pStyle w:val="1"/>
        <w:spacing w:beforeLines="50" w:before="156" w:after="0" w:line="480" w:lineRule="atLeast"/>
        <w:rPr>
          <w:sz w:val="24"/>
          <w:szCs w:val="24"/>
        </w:rPr>
      </w:pPr>
      <w:r w:rsidRPr="00B33E8A">
        <w:rPr>
          <w:rFonts w:hint="eastAsia"/>
          <w:sz w:val="24"/>
          <w:szCs w:val="24"/>
        </w:rPr>
        <w:t>三、提交资料</w:t>
      </w:r>
    </w:p>
    <w:p w14:paraId="1E83A1A3" w14:textId="77777777" w:rsidR="00B33E8A" w:rsidRPr="00B33E8A"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申请享受本通知规定的准备金税前扣除政策的中小企业融资(信用)担保机构，在汇算清缴时，需报送法人执照副本复印件、融资性担保机构监管部门颁发的经营许可证复印件、年度会计报表和担保业务情况（包括担保业务明细和风险准备金提取等），以及财政、税务部门要求提供的其他材料。</w:t>
      </w:r>
    </w:p>
    <w:p w14:paraId="3ADC99F2" w14:textId="1A76FD7F" w:rsidR="00B33E8A" w:rsidRPr="00B33E8A" w:rsidRDefault="00B33E8A" w:rsidP="00B33E8A">
      <w:pPr>
        <w:spacing w:beforeLines="50" w:before="156" w:line="480" w:lineRule="atLeast"/>
        <w:jc w:val="right"/>
        <w:rPr>
          <w:rFonts w:ascii="宋体" w:eastAsia="宋体" w:hAnsi="宋体"/>
          <w:color w:val="000000" w:themeColor="text1"/>
          <w:sz w:val="24"/>
          <w:szCs w:val="24"/>
        </w:rPr>
      </w:pPr>
      <w:r w:rsidRPr="00B33E8A">
        <w:rPr>
          <w:rFonts w:ascii="宋体" w:eastAsia="宋体" w:hAnsi="宋体" w:hint="eastAsia"/>
          <w:color w:val="000000" w:themeColor="text1"/>
          <w:sz w:val="24"/>
          <w:szCs w:val="24"/>
        </w:rPr>
        <w:t>（</w:t>
      </w:r>
      <w:hyperlink r:id="rId17" w:history="1">
        <w:r w:rsidR="004D2FA4" w:rsidRPr="004D2FA4">
          <w:rPr>
            <w:rStyle w:val="a6"/>
            <w:rFonts w:ascii="宋体" w:eastAsia="宋体" w:hAnsi="宋体" w:hint="eastAsia"/>
            <w:sz w:val="24"/>
            <w:szCs w:val="24"/>
          </w:rPr>
          <w:t>财税〔2017〕22号</w:t>
        </w:r>
      </w:hyperlink>
      <w:r w:rsidRPr="00B33E8A">
        <w:rPr>
          <w:rFonts w:ascii="宋体" w:eastAsia="宋体" w:hAnsi="宋体" w:hint="eastAsia"/>
          <w:color w:val="000000" w:themeColor="text1"/>
          <w:sz w:val="24"/>
          <w:szCs w:val="24"/>
        </w:rPr>
        <w:t>第五条）</w:t>
      </w:r>
    </w:p>
    <w:p w14:paraId="3C0AA771" w14:textId="77777777" w:rsidR="00B33E8A" w:rsidRPr="00B33E8A" w:rsidRDefault="00B33E8A" w:rsidP="00B33E8A">
      <w:pPr>
        <w:pStyle w:val="1"/>
        <w:spacing w:beforeLines="50" w:before="156" w:after="0" w:line="480" w:lineRule="atLeast"/>
        <w:rPr>
          <w:sz w:val="24"/>
          <w:szCs w:val="24"/>
        </w:rPr>
      </w:pPr>
      <w:r w:rsidRPr="00B33E8A">
        <w:rPr>
          <w:rFonts w:hint="eastAsia"/>
          <w:sz w:val="24"/>
          <w:szCs w:val="24"/>
        </w:rPr>
        <w:lastRenderedPageBreak/>
        <w:t>四、适用期限</w:t>
      </w:r>
    </w:p>
    <w:p w14:paraId="7FC65B4F" w14:textId="70A547E9" w:rsidR="00B33E8A" w:rsidRPr="004D2FA4" w:rsidRDefault="00B33E8A" w:rsidP="00B33E8A">
      <w:pPr>
        <w:pStyle w:val="a5"/>
        <w:shd w:val="clear" w:color="auto" w:fill="FFFFFF"/>
        <w:spacing w:beforeLines="50" w:before="156" w:beforeAutospacing="0" w:after="0" w:afterAutospacing="0" w:line="480" w:lineRule="atLeast"/>
        <w:ind w:firstLineChars="200" w:firstLine="480"/>
        <w:rPr>
          <w:color w:val="000000" w:themeColor="text1"/>
        </w:rPr>
      </w:pPr>
      <w:r w:rsidRPr="00B33E8A">
        <w:rPr>
          <w:rFonts w:hint="eastAsia"/>
          <w:color w:val="000000" w:themeColor="text1"/>
        </w:rPr>
        <w:t>本通知自2016年1月1日</w:t>
      </w:r>
      <w:bookmarkStart w:id="2" w:name="_GoBack"/>
      <w:bookmarkEnd w:id="2"/>
      <w:r w:rsidRPr="00B33E8A">
        <w:rPr>
          <w:rFonts w:hint="eastAsia"/>
          <w:color w:val="000000" w:themeColor="text1"/>
        </w:rPr>
        <w:t>起至2020年12月31日止执行</w:t>
      </w:r>
      <w:r w:rsidR="004D2FA4" w:rsidRPr="004D2FA4">
        <w:rPr>
          <w:rFonts w:hint="eastAsia"/>
          <w:color w:val="000000" w:themeColor="text1"/>
        </w:rPr>
        <w:t>.</w:t>
      </w:r>
      <w:r w:rsidR="004D2FA4" w:rsidRPr="004D2FA4">
        <w:rPr>
          <w:rFonts w:asciiTheme="minorHAnsi" w:eastAsiaTheme="minorEastAsia" w:hAnsiTheme="minorHAnsi" w:cstheme="minorBidi" w:hint="eastAsia"/>
          <w:color w:val="333333"/>
          <w:kern w:val="2"/>
          <w:shd w:val="clear" w:color="auto" w:fill="FFFFFF"/>
        </w:rPr>
        <w:t>《财政部</w:t>
      </w:r>
      <w:r w:rsidR="004D2FA4" w:rsidRPr="004D2FA4">
        <w:rPr>
          <w:rFonts w:asciiTheme="minorHAnsi" w:eastAsiaTheme="minorEastAsia" w:hAnsiTheme="minorHAnsi" w:cstheme="minorBidi" w:hint="eastAsia"/>
          <w:color w:val="333333"/>
          <w:kern w:val="2"/>
          <w:shd w:val="clear" w:color="auto" w:fill="FFFFFF"/>
        </w:rPr>
        <w:t xml:space="preserve"> </w:t>
      </w:r>
      <w:r w:rsidR="004D2FA4" w:rsidRPr="004D2FA4">
        <w:rPr>
          <w:rFonts w:asciiTheme="minorHAnsi" w:eastAsiaTheme="minorEastAsia" w:hAnsiTheme="minorHAnsi" w:cstheme="minorBidi" w:hint="eastAsia"/>
          <w:color w:val="333333"/>
          <w:kern w:val="2"/>
          <w:shd w:val="clear" w:color="auto" w:fill="FFFFFF"/>
        </w:rPr>
        <w:t>国家税务总局关于中小企业信用担保机构有关准备金企业所得税税前扣除政策的通知》（</w:t>
      </w:r>
      <w:hyperlink r:id="rId18" w:tgtFrame="_self" w:history="1">
        <w:r w:rsidR="004D2FA4" w:rsidRPr="004D2FA4">
          <w:rPr>
            <w:rFonts w:asciiTheme="minorHAnsi" w:eastAsiaTheme="minorEastAsia" w:hAnsiTheme="minorHAnsi" w:cstheme="minorBidi" w:hint="eastAsia"/>
            <w:color w:val="6E6E6E"/>
            <w:kern w:val="2"/>
            <w:u w:val="single"/>
            <w:shd w:val="clear" w:color="auto" w:fill="FFFFFF"/>
          </w:rPr>
          <w:t>财税〔</w:t>
        </w:r>
        <w:r w:rsidR="004D2FA4" w:rsidRPr="004D2FA4">
          <w:rPr>
            <w:rFonts w:asciiTheme="minorHAnsi" w:eastAsiaTheme="minorEastAsia" w:hAnsiTheme="minorHAnsi" w:cstheme="minorBidi" w:hint="eastAsia"/>
            <w:color w:val="6E6E6E"/>
            <w:kern w:val="2"/>
            <w:u w:val="single"/>
            <w:shd w:val="clear" w:color="auto" w:fill="FFFFFF"/>
          </w:rPr>
          <w:t>2012</w:t>
        </w:r>
        <w:r w:rsidR="004D2FA4" w:rsidRPr="004D2FA4">
          <w:rPr>
            <w:rFonts w:asciiTheme="minorHAnsi" w:eastAsiaTheme="minorEastAsia" w:hAnsiTheme="minorHAnsi" w:cstheme="minorBidi" w:hint="eastAsia"/>
            <w:color w:val="6E6E6E"/>
            <w:kern w:val="2"/>
            <w:u w:val="single"/>
            <w:shd w:val="clear" w:color="auto" w:fill="FFFFFF"/>
          </w:rPr>
          <w:t>〕</w:t>
        </w:r>
        <w:r w:rsidR="004D2FA4" w:rsidRPr="004D2FA4">
          <w:rPr>
            <w:rFonts w:asciiTheme="minorHAnsi" w:eastAsiaTheme="minorEastAsia" w:hAnsiTheme="minorHAnsi" w:cstheme="minorBidi" w:hint="eastAsia"/>
            <w:color w:val="6E6E6E"/>
            <w:kern w:val="2"/>
            <w:u w:val="single"/>
            <w:shd w:val="clear" w:color="auto" w:fill="FFFFFF"/>
          </w:rPr>
          <w:t>25</w:t>
        </w:r>
        <w:r w:rsidR="004D2FA4" w:rsidRPr="004D2FA4">
          <w:rPr>
            <w:rFonts w:asciiTheme="minorHAnsi" w:eastAsiaTheme="minorEastAsia" w:hAnsiTheme="minorHAnsi" w:cstheme="minorBidi" w:hint="eastAsia"/>
            <w:color w:val="6E6E6E"/>
            <w:kern w:val="2"/>
            <w:u w:val="single"/>
            <w:shd w:val="clear" w:color="auto" w:fill="FFFFFF"/>
          </w:rPr>
          <w:t>号</w:t>
        </w:r>
      </w:hyperlink>
      <w:r w:rsidR="004D2FA4" w:rsidRPr="004D2FA4">
        <w:rPr>
          <w:rFonts w:asciiTheme="minorHAnsi" w:eastAsiaTheme="minorEastAsia" w:hAnsiTheme="minorHAnsi" w:cstheme="minorBidi" w:hint="eastAsia"/>
          <w:color w:val="333333"/>
          <w:kern w:val="2"/>
          <w:shd w:val="clear" w:color="auto" w:fill="FFFFFF"/>
        </w:rPr>
        <w:t>）</w:t>
      </w:r>
      <w:r w:rsidRPr="004D2FA4">
        <w:rPr>
          <w:rFonts w:hint="eastAsia"/>
          <w:color w:val="000000" w:themeColor="text1"/>
        </w:rPr>
        <w:t>同时废止。</w:t>
      </w:r>
    </w:p>
    <w:p w14:paraId="485AC8D2" w14:textId="0033D5DC" w:rsidR="009A1F5F" w:rsidRDefault="00B33E8A" w:rsidP="00E27A39">
      <w:pPr>
        <w:spacing w:beforeLines="50" w:before="156" w:line="480" w:lineRule="atLeast"/>
        <w:jc w:val="right"/>
        <w:rPr>
          <w:rFonts w:asciiTheme="minorEastAsia" w:hAnsiTheme="minorEastAsia"/>
          <w:color w:val="000000" w:themeColor="text1"/>
        </w:rPr>
      </w:pPr>
      <w:r w:rsidRPr="00B33E8A">
        <w:rPr>
          <w:rFonts w:ascii="宋体" w:eastAsia="宋体" w:hAnsi="宋体" w:hint="eastAsia"/>
          <w:color w:val="000000" w:themeColor="text1"/>
          <w:sz w:val="24"/>
          <w:szCs w:val="24"/>
        </w:rPr>
        <w:t>（</w:t>
      </w:r>
      <w:hyperlink r:id="rId19" w:history="1">
        <w:r w:rsidR="004D2FA4" w:rsidRPr="004D2FA4">
          <w:rPr>
            <w:rStyle w:val="a6"/>
            <w:rFonts w:ascii="宋体" w:eastAsia="宋体" w:hAnsi="宋体" w:hint="eastAsia"/>
            <w:sz w:val="24"/>
            <w:szCs w:val="24"/>
          </w:rPr>
          <w:t>财税〔2017〕22号</w:t>
        </w:r>
      </w:hyperlink>
      <w:r w:rsidRPr="00B33E8A">
        <w:rPr>
          <w:rFonts w:ascii="宋体" w:eastAsia="宋体" w:hAnsi="宋体" w:hint="eastAsia"/>
          <w:color w:val="000000" w:themeColor="text1"/>
          <w:sz w:val="24"/>
          <w:szCs w:val="24"/>
        </w:rPr>
        <w:t>第六条）</w:t>
      </w:r>
    </w:p>
    <w:p w14:paraId="0AF4CBC2" w14:textId="77777777" w:rsidR="0047122A" w:rsidRPr="00726CEF" w:rsidRDefault="0047122A" w:rsidP="00726CE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sectPr w:rsidR="0047122A" w:rsidRPr="00726CEF">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84A0" w14:textId="77777777" w:rsidR="00994F06" w:rsidRDefault="00994F06" w:rsidP="008D63C6">
      <w:r>
        <w:separator/>
      </w:r>
    </w:p>
  </w:endnote>
  <w:endnote w:type="continuationSeparator" w:id="0">
    <w:p w14:paraId="01A95A67" w14:textId="77777777" w:rsidR="00994F06" w:rsidRDefault="00994F06"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D2FA4">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D2FA4">
              <w:rPr>
                <w:b/>
                <w:bCs/>
                <w:noProof/>
              </w:rPr>
              <w:t>3</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834D3" w14:textId="77777777" w:rsidR="00994F06" w:rsidRDefault="00994F06" w:rsidP="008D63C6">
      <w:r>
        <w:separator/>
      </w:r>
    </w:p>
  </w:footnote>
  <w:footnote w:type="continuationSeparator" w:id="0">
    <w:p w14:paraId="2904AE81" w14:textId="77777777" w:rsidR="00994F06" w:rsidRDefault="00994F06"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665B5"/>
    <w:rsid w:val="00076DF4"/>
    <w:rsid w:val="000A1580"/>
    <w:rsid w:val="000E1550"/>
    <w:rsid w:val="000F6FDA"/>
    <w:rsid w:val="00106154"/>
    <w:rsid w:val="0012077A"/>
    <w:rsid w:val="00124CCD"/>
    <w:rsid w:val="0013371B"/>
    <w:rsid w:val="00143735"/>
    <w:rsid w:val="00153E93"/>
    <w:rsid w:val="001773B2"/>
    <w:rsid w:val="001825B2"/>
    <w:rsid w:val="00186F69"/>
    <w:rsid w:val="001C0DC2"/>
    <w:rsid w:val="00204AE5"/>
    <w:rsid w:val="00204EA7"/>
    <w:rsid w:val="0023101A"/>
    <w:rsid w:val="0028652D"/>
    <w:rsid w:val="002B633B"/>
    <w:rsid w:val="002D4CDD"/>
    <w:rsid w:val="002E1AF6"/>
    <w:rsid w:val="002F50D4"/>
    <w:rsid w:val="003006A6"/>
    <w:rsid w:val="003163EC"/>
    <w:rsid w:val="00322E87"/>
    <w:rsid w:val="003420C2"/>
    <w:rsid w:val="0034249D"/>
    <w:rsid w:val="003773C5"/>
    <w:rsid w:val="00390245"/>
    <w:rsid w:val="003A3829"/>
    <w:rsid w:val="003A3D20"/>
    <w:rsid w:val="003E7611"/>
    <w:rsid w:val="0040440C"/>
    <w:rsid w:val="00416ED8"/>
    <w:rsid w:val="004271D7"/>
    <w:rsid w:val="00462FF2"/>
    <w:rsid w:val="0047122A"/>
    <w:rsid w:val="004B6E8F"/>
    <w:rsid w:val="004D2FA4"/>
    <w:rsid w:val="005111C0"/>
    <w:rsid w:val="005536F0"/>
    <w:rsid w:val="005B13D2"/>
    <w:rsid w:val="005D00CA"/>
    <w:rsid w:val="00604838"/>
    <w:rsid w:val="006309F4"/>
    <w:rsid w:val="0066072D"/>
    <w:rsid w:val="00670E0F"/>
    <w:rsid w:val="00672948"/>
    <w:rsid w:val="00677107"/>
    <w:rsid w:val="006979BE"/>
    <w:rsid w:val="006A6936"/>
    <w:rsid w:val="006E3156"/>
    <w:rsid w:val="00726CEF"/>
    <w:rsid w:val="007273FC"/>
    <w:rsid w:val="0073415B"/>
    <w:rsid w:val="00740A21"/>
    <w:rsid w:val="00751B4A"/>
    <w:rsid w:val="00782523"/>
    <w:rsid w:val="007B6D37"/>
    <w:rsid w:val="00821BDC"/>
    <w:rsid w:val="00836465"/>
    <w:rsid w:val="00846BFB"/>
    <w:rsid w:val="00867863"/>
    <w:rsid w:val="00890BDB"/>
    <w:rsid w:val="008A13A6"/>
    <w:rsid w:val="008D63C6"/>
    <w:rsid w:val="008F4E32"/>
    <w:rsid w:val="008F5C3A"/>
    <w:rsid w:val="009249DE"/>
    <w:rsid w:val="009524C2"/>
    <w:rsid w:val="00990092"/>
    <w:rsid w:val="00994F06"/>
    <w:rsid w:val="009A1F5F"/>
    <w:rsid w:val="009E18C9"/>
    <w:rsid w:val="00A1440A"/>
    <w:rsid w:val="00A27AE2"/>
    <w:rsid w:val="00A73CD1"/>
    <w:rsid w:val="00A91435"/>
    <w:rsid w:val="00AA70A7"/>
    <w:rsid w:val="00AC3F64"/>
    <w:rsid w:val="00AC536B"/>
    <w:rsid w:val="00AD0622"/>
    <w:rsid w:val="00AF5778"/>
    <w:rsid w:val="00AF798D"/>
    <w:rsid w:val="00B16CF6"/>
    <w:rsid w:val="00B33E8A"/>
    <w:rsid w:val="00B86D1F"/>
    <w:rsid w:val="00BC5EB2"/>
    <w:rsid w:val="00BD0510"/>
    <w:rsid w:val="00BF3704"/>
    <w:rsid w:val="00C30CE5"/>
    <w:rsid w:val="00C31DC2"/>
    <w:rsid w:val="00C56DB0"/>
    <w:rsid w:val="00C56E20"/>
    <w:rsid w:val="00C83F5C"/>
    <w:rsid w:val="00CA4D89"/>
    <w:rsid w:val="00CE17B0"/>
    <w:rsid w:val="00D116FD"/>
    <w:rsid w:val="00D206C3"/>
    <w:rsid w:val="00D238CC"/>
    <w:rsid w:val="00D30FE2"/>
    <w:rsid w:val="00D42F41"/>
    <w:rsid w:val="00D505A2"/>
    <w:rsid w:val="00D72B80"/>
    <w:rsid w:val="00D84FAD"/>
    <w:rsid w:val="00DB24DC"/>
    <w:rsid w:val="00DB566A"/>
    <w:rsid w:val="00DC0CBB"/>
    <w:rsid w:val="00DE6113"/>
    <w:rsid w:val="00DF2592"/>
    <w:rsid w:val="00DF51FF"/>
    <w:rsid w:val="00E22101"/>
    <w:rsid w:val="00E27A39"/>
    <w:rsid w:val="00E45626"/>
    <w:rsid w:val="00E54CBE"/>
    <w:rsid w:val="00E67710"/>
    <w:rsid w:val="00E76EED"/>
    <w:rsid w:val="00EA120E"/>
    <w:rsid w:val="00EE7993"/>
    <w:rsid w:val="00EF1B16"/>
    <w:rsid w:val="00F03A07"/>
    <w:rsid w:val="00F0630D"/>
    <w:rsid w:val="00F11662"/>
    <w:rsid w:val="00F12A62"/>
    <w:rsid w:val="00F2659C"/>
    <w:rsid w:val="00F51D5A"/>
    <w:rsid w:val="00F53E80"/>
    <w:rsid w:val="00F57C18"/>
    <w:rsid w:val="00F76D8C"/>
    <w:rsid w:val="00FA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75.html" TargetMode="External"/><Relationship Id="rId13" Type="http://schemas.openxmlformats.org/officeDocument/2006/relationships/hyperlink" Target="http://ssfb86.com/index/News/detail/newsid/564.html" TargetMode="External"/><Relationship Id="rId18" Type="http://schemas.openxmlformats.org/officeDocument/2006/relationships/hyperlink" Target="http://ssfb86.com/index/News/detail/newsid/1569.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fb86.com/index/News/detail/newsid/564.html" TargetMode="External"/><Relationship Id="rId17" Type="http://schemas.openxmlformats.org/officeDocument/2006/relationships/hyperlink" Target="http://ssfb86.com/index/News/detail/newsid/564.html" TargetMode="External"/><Relationship Id="rId2" Type="http://schemas.openxmlformats.org/officeDocument/2006/relationships/styles" Target="styles.xml"/><Relationship Id="rId16" Type="http://schemas.openxmlformats.org/officeDocument/2006/relationships/hyperlink" Target="http://ssfb86.com/index/News/detail/newsid/56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564.html" TargetMode="External"/><Relationship Id="rId5" Type="http://schemas.openxmlformats.org/officeDocument/2006/relationships/webSettings" Target="webSettings.xml"/><Relationship Id="rId15" Type="http://schemas.openxmlformats.org/officeDocument/2006/relationships/hyperlink" Target="http://ssfb86.com/index/News/detail/newsid/564.html" TargetMode="External"/><Relationship Id="rId10" Type="http://schemas.openxmlformats.org/officeDocument/2006/relationships/hyperlink" Target="http://ssfb86.com/index/News/detail/newsid/564.html" TargetMode="External"/><Relationship Id="rId19" Type="http://schemas.openxmlformats.org/officeDocument/2006/relationships/hyperlink" Target="http://ssfb86.com/index/News/detail/newsid/564.html" TargetMode="Externa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4" Type="http://schemas.openxmlformats.org/officeDocument/2006/relationships/hyperlink" Target="http://ssfb86.com/index/News/detail/newsid/564.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94A2-CD40-40A4-B7D6-886CB1CF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2020-07-05T06:58:00Z</dcterms:created>
  <dcterms:modified xsi:type="dcterms:W3CDTF">2020-10-12T00:24:00Z</dcterms:modified>
</cp:coreProperties>
</file>