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0DB06C09" w:rsidR="00F57C18" w:rsidRDefault="00E22101" w:rsidP="008D63C6">
      <w:pPr>
        <w:jc w:val="center"/>
        <w:rPr>
          <w:rFonts w:asciiTheme="minorEastAsia" w:hAnsiTheme="minorEastAsia"/>
          <w:sz w:val="44"/>
          <w:szCs w:val="44"/>
        </w:rPr>
      </w:pPr>
      <w:r>
        <w:rPr>
          <w:rFonts w:asciiTheme="minorEastAsia" w:hAnsiTheme="minorEastAsia"/>
          <w:sz w:val="44"/>
          <w:szCs w:val="44"/>
        </w:rPr>
        <w:t>4.</w:t>
      </w:r>
      <w:r w:rsidR="00D72B80">
        <w:rPr>
          <w:rFonts w:asciiTheme="minorEastAsia" w:hAnsiTheme="minorEastAsia"/>
          <w:sz w:val="44"/>
          <w:szCs w:val="44"/>
        </w:rPr>
        <w:t>4</w:t>
      </w:r>
      <w:r w:rsidR="00322E87">
        <w:rPr>
          <w:rFonts w:asciiTheme="minorEastAsia" w:hAnsiTheme="minorEastAsia"/>
          <w:sz w:val="44"/>
          <w:szCs w:val="44"/>
        </w:rPr>
        <w:t>.</w:t>
      </w:r>
      <w:r w:rsidR="00A91435">
        <w:rPr>
          <w:rFonts w:asciiTheme="minorEastAsia" w:hAnsiTheme="minorEastAsia"/>
          <w:sz w:val="44"/>
          <w:szCs w:val="44"/>
        </w:rPr>
        <w:t>4.</w:t>
      </w:r>
      <w:r w:rsidR="00143735">
        <w:rPr>
          <w:rFonts w:asciiTheme="minorEastAsia" w:hAnsiTheme="minorEastAsia"/>
          <w:sz w:val="44"/>
          <w:szCs w:val="44"/>
        </w:rPr>
        <w:t>7.</w:t>
      </w:r>
      <w:r w:rsidR="008A6E0E">
        <w:rPr>
          <w:rFonts w:asciiTheme="minorEastAsia" w:hAnsiTheme="minorEastAsia"/>
          <w:sz w:val="44"/>
          <w:szCs w:val="44"/>
        </w:rPr>
        <w:t>5</w:t>
      </w:r>
      <w:r w:rsidR="008D63C6" w:rsidRPr="00740A21">
        <w:rPr>
          <w:rFonts w:asciiTheme="minorEastAsia" w:hAnsiTheme="minorEastAsia"/>
          <w:sz w:val="44"/>
          <w:szCs w:val="44"/>
        </w:rPr>
        <w:t xml:space="preserve">  </w:t>
      </w:r>
      <w:r w:rsidR="008A6E0E" w:rsidRPr="008A6E0E">
        <w:rPr>
          <w:rFonts w:asciiTheme="minorEastAsia" w:hAnsiTheme="minorEastAsia" w:hint="eastAsia"/>
          <w:sz w:val="44"/>
          <w:szCs w:val="44"/>
        </w:rPr>
        <w:t>环保等专项资金</w:t>
      </w:r>
      <w:r w:rsidR="006A20C9">
        <w:rPr>
          <w:rFonts w:asciiTheme="minorEastAsia" w:hAnsiTheme="minorEastAsia" w:hint="eastAsia"/>
          <w:sz w:val="44"/>
          <w:szCs w:val="44"/>
        </w:rPr>
        <w:t>（</w:t>
      </w:r>
      <w:r w:rsidR="008A6E0E" w:rsidRPr="008A6E0E">
        <w:rPr>
          <w:rFonts w:asciiTheme="minorEastAsia" w:hAnsiTheme="minorEastAsia" w:hint="eastAsia"/>
          <w:sz w:val="44"/>
          <w:szCs w:val="44"/>
        </w:rPr>
        <w:t>海上油气生产设施弃置费</w:t>
      </w:r>
      <w:r w:rsidR="006A20C9">
        <w:rPr>
          <w:rFonts w:asciiTheme="minorEastAsia" w:hAnsiTheme="minorEastAsia" w:hint="eastAsia"/>
          <w:sz w:val="44"/>
          <w:szCs w:val="44"/>
        </w:rPr>
        <w:t>）</w:t>
      </w:r>
    </w:p>
    <w:p w14:paraId="464582DA" w14:textId="3BED7611" w:rsidR="000E1550" w:rsidRDefault="000E1550" w:rsidP="000E1550">
      <w:pPr>
        <w:spacing w:beforeLines="50" w:before="156" w:line="480" w:lineRule="atLeast"/>
        <w:jc w:val="left"/>
        <w:rPr>
          <w:rFonts w:asciiTheme="minorEastAsia" w:hAnsiTheme="minorEastAsia"/>
          <w:b/>
          <w:bCs/>
          <w:kern w:val="44"/>
          <w:sz w:val="24"/>
          <w:szCs w:val="24"/>
        </w:rPr>
      </w:pPr>
    </w:p>
    <w:p w14:paraId="219EACD4" w14:textId="77777777" w:rsidR="006A20C9" w:rsidRPr="006A20C9" w:rsidRDefault="006A20C9" w:rsidP="006A20C9">
      <w:pPr>
        <w:pStyle w:val="a5"/>
        <w:shd w:val="clear" w:color="auto" w:fill="FFFFFF"/>
        <w:spacing w:beforeLines="50" w:before="156" w:beforeAutospacing="0" w:after="0" w:afterAutospacing="0" w:line="480" w:lineRule="atLeast"/>
        <w:ind w:firstLineChars="200" w:firstLine="480"/>
        <w:rPr>
          <w:color w:val="000000" w:themeColor="text1"/>
        </w:rPr>
      </w:pPr>
      <w:r w:rsidRPr="006A20C9">
        <w:rPr>
          <w:rFonts w:hint="eastAsia"/>
          <w:color w:val="000000" w:themeColor="text1"/>
        </w:rPr>
        <w:t>企业依照法律、行政法规有关规定</w:t>
      </w:r>
      <w:bookmarkStart w:id="0" w:name="_Hlk31788041"/>
      <w:r w:rsidRPr="006A20C9">
        <w:rPr>
          <w:rFonts w:hint="eastAsia"/>
          <w:color w:val="000000" w:themeColor="text1"/>
        </w:rPr>
        <w:t>提取的用于环境保护、生态恢复</w:t>
      </w:r>
      <w:r w:rsidRPr="006A20C9">
        <w:rPr>
          <w:rFonts w:hint="eastAsia"/>
          <w:b/>
          <w:color w:val="000000" w:themeColor="text1"/>
        </w:rPr>
        <w:t>等</w:t>
      </w:r>
      <w:r w:rsidRPr="006A20C9">
        <w:rPr>
          <w:rFonts w:hint="eastAsia"/>
          <w:color w:val="000000" w:themeColor="text1"/>
        </w:rPr>
        <w:t>方面的专项资金</w:t>
      </w:r>
      <w:bookmarkEnd w:id="0"/>
      <w:r w:rsidRPr="006A20C9">
        <w:rPr>
          <w:rFonts w:hint="eastAsia"/>
          <w:color w:val="000000" w:themeColor="text1"/>
        </w:rPr>
        <w:t>，准予扣除。上述专项资金提取后改变用途的，不得扣除。</w:t>
      </w:r>
    </w:p>
    <w:p w14:paraId="5F58FB3C" w14:textId="094379D5" w:rsidR="006A20C9" w:rsidRPr="006A20C9" w:rsidRDefault="006A20C9" w:rsidP="006A20C9">
      <w:pPr>
        <w:pStyle w:val="a5"/>
        <w:spacing w:beforeLines="50" w:before="156" w:beforeAutospacing="0" w:after="0" w:afterAutospacing="0" w:line="480" w:lineRule="atLeast"/>
        <w:ind w:firstLineChars="200" w:firstLine="480"/>
        <w:jc w:val="right"/>
        <w:rPr>
          <w:color w:val="000000" w:themeColor="text1"/>
        </w:rPr>
      </w:pPr>
      <w:r w:rsidRPr="006A20C9">
        <w:rPr>
          <w:rFonts w:hint="eastAsia"/>
          <w:color w:val="000000" w:themeColor="text1"/>
        </w:rPr>
        <w:t>（</w:t>
      </w:r>
      <w:r w:rsidR="00095CF3">
        <w:rPr>
          <w:rFonts w:asciiTheme="minorEastAsia" w:hAnsiTheme="minorEastAsia" w:hint="eastAsia"/>
          <w:color w:val="000000" w:themeColor="text1"/>
        </w:rPr>
        <w:t>《</w:t>
      </w:r>
      <w:hyperlink r:id="rId8" w:history="1">
        <w:r w:rsidR="00095CF3">
          <w:rPr>
            <w:rStyle w:val="a6"/>
            <w:rFonts w:asciiTheme="minorEastAsia" w:hAnsiTheme="minorEastAsia" w:hint="eastAsia"/>
          </w:rPr>
          <w:t>企业所得税法实施条例</w:t>
        </w:r>
      </w:hyperlink>
      <w:r w:rsidR="00095CF3">
        <w:rPr>
          <w:rFonts w:asciiTheme="minorEastAsia" w:hAnsiTheme="minorEastAsia" w:hint="eastAsia"/>
          <w:color w:val="000000" w:themeColor="text1"/>
        </w:rPr>
        <w:t>》</w:t>
      </w:r>
      <w:r w:rsidRPr="006A20C9">
        <w:rPr>
          <w:rFonts w:hint="eastAsia"/>
          <w:color w:val="000000" w:themeColor="text1"/>
        </w:rPr>
        <w:t>第四十五条）</w:t>
      </w:r>
    </w:p>
    <w:p w14:paraId="44DB15B4" w14:textId="38306CB6" w:rsidR="006A20C9" w:rsidRPr="006A20C9" w:rsidRDefault="006A20C9" w:rsidP="006A20C9">
      <w:pPr>
        <w:pStyle w:val="1"/>
        <w:spacing w:before="50" w:after="0" w:line="480" w:lineRule="atLeast"/>
        <w:rPr>
          <w:rFonts w:ascii="宋体" w:eastAsia="宋体" w:hAnsi="宋体"/>
          <w:sz w:val="24"/>
          <w:szCs w:val="24"/>
        </w:rPr>
      </w:pPr>
      <w:r w:rsidRPr="006A20C9">
        <w:rPr>
          <w:rFonts w:ascii="宋体" w:eastAsia="宋体" w:hAnsi="宋体" w:hint="eastAsia"/>
          <w:sz w:val="24"/>
          <w:szCs w:val="24"/>
        </w:rPr>
        <w:t>附注：海上油气生产设施弃置费企业所得税管理办法</w:t>
      </w:r>
    </w:p>
    <w:p w14:paraId="23DC83D1" w14:textId="28D1507B" w:rsidR="006A20C9" w:rsidRPr="006A20C9" w:rsidRDefault="006A20C9" w:rsidP="006A20C9">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6A20C9">
        <w:rPr>
          <w:rFonts w:ascii="宋体" w:eastAsia="宋体" w:hAnsi="宋体" w:cs="宋体" w:hint="eastAsia"/>
          <w:color w:val="000000" w:themeColor="text1"/>
          <w:kern w:val="0"/>
          <w:sz w:val="24"/>
          <w:szCs w:val="24"/>
        </w:rPr>
        <w:t>为加强和规范海上油气生产设施弃置费企业所得税管理，根据</w:t>
      </w:r>
      <w:r w:rsidR="00086551" w:rsidRPr="00086551">
        <w:rPr>
          <w:rFonts w:hint="eastAsia"/>
          <w:color w:val="333333"/>
          <w:sz w:val="24"/>
          <w:szCs w:val="24"/>
          <w:shd w:val="clear" w:color="auto" w:fill="FFFFFF"/>
        </w:rPr>
        <w:t>《</w:t>
      </w:r>
      <w:hyperlink r:id="rId9" w:tgtFrame="_self" w:history="1">
        <w:r w:rsidR="00086551" w:rsidRPr="00086551">
          <w:rPr>
            <w:rFonts w:hint="eastAsia"/>
            <w:color w:val="6E6E6E"/>
            <w:sz w:val="24"/>
            <w:szCs w:val="24"/>
            <w:u w:val="single"/>
            <w:shd w:val="clear" w:color="auto" w:fill="FFFFFF"/>
          </w:rPr>
          <w:t>中华人民共和国税收征收管理法</w:t>
        </w:r>
      </w:hyperlink>
      <w:r w:rsidR="00086551" w:rsidRPr="00086551">
        <w:rPr>
          <w:rFonts w:hint="eastAsia"/>
          <w:color w:val="333333"/>
          <w:sz w:val="24"/>
          <w:szCs w:val="24"/>
          <w:shd w:val="clear" w:color="auto" w:fill="FFFFFF"/>
        </w:rPr>
        <w:t>》、《</w:t>
      </w:r>
      <w:hyperlink r:id="rId10" w:tgtFrame="_self" w:history="1">
        <w:r w:rsidR="00086551" w:rsidRPr="00086551">
          <w:rPr>
            <w:rFonts w:hint="eastAsia"/>
            <w:color w:val="6E6E6E"/>
            <w:sz w:val="24"/>
            <w:szCs w:val="24"/>
            <w:u w:val="single"/>
            <w:shd w:val="clear" w:color="auto" w:fill="FFFFFF"/>
          </w:rPr>
          <w:t>中华人民共和国企业所得税法实施条例</w:t>
        </w:r>
      </w:hyperlink>
      <w:r w:rsidR="00086551" w:rsidRPr="00086551">
        <w:rPr>
          <w:rFonts w:hint="eastAsia"/>
          <w:color w:val="333333"/>
          <w:sz w:val="24"/>
          <w:szCs w:val="24"/>
          <w:shd w:val="clear" w:color="auto" w:fill="FFFFFF"/>
        </w:rPr>
        <w:t>》</w:t>
      </w:r>
      <w:r w:rsidRPr="00086551">
        <w:rPr>
          <w:rFonts w:ascii="宋体" w:eastAsia="宋体" w:hAnsi="宋体" w:cs="宋体" w:hint="eastAsia"/>
          <w:color w:val="000000" w:themeColor="text1"/>
          <w:kern w:val="0"/>
          <w:sz w:val="24"/>
          <w:szCs w:val="24"/>
        </w:rPr>
        <w:t>、《国家</w:t>
      </w:r>
      <w:r w:rsidRPr="006A20C9">
        <w:rPr>
          <w:rFonts w:ascii="宋体" w:eastAsia="宋体" w:hAnsi="宋体" w:cs="宋体" w:hint="eastAsia"/>
          <w:color w:val="000000" w:themeColor="text1"/>
          <w:kern w:val="0"/>
          <w:sz w:val="24"/>
          <w:szCs w:val="24"/>
        </w:rPr>
        <w:t>发展和改革委员会、国家能源局、财政部、国家税务总局、国家海洋局关于印发〈海上油气生产设施废弃处置管理暂行规定〉的通知》（发改能源〔2010〕1305号）的有关规定，制定本办法。</w:t>
      </w:r>
    </w:p>
    <w:p w14:paraId="5DB9B234" w14:textId="5172867E" w:rsidR="006A20C9" w:rsidRPr="006A20C9" w:rsidRDefault="006A20C9" w:rsidP="006A20C9">
      <w:pPr>
        <w:widowControl/>
        <w:spacing w:beforeLines="50" w:before="156" w:line="480" w:lineRule="atLeast"/>
        <w:ind w:firstLineChars="200" w:firstLine="480"/>
        <w:jc w:val="right"/>
        <w:rPr>
          <w:rFonts w:ascii="宋体" w:eastAsia="宋体" w:hAnsi="宋体"/>
          <w:bCs/>
          <w:color w:val="000000" w:themeColor="text1"/>
          <w:sz w:val="24"/>
          <w:szCs w:val="24"/>
        </w:rPr>
      </w:pPr>
      <w:r w:rsidRPr="006A20C9">
        <w:rPr>
          <w:rFonts w:ascii="宋体" w:eastAsia="宋体" w:hAnsi="宋体" w:hint="eastAsia"/>
          <w:bCs/>
          <w:color w:val="000000" w:themeColor="text1"/>
          <w:sz w:val="24"/>
          <w:szCs w:val="24"/>
        </w:rPr>
        <w:t>（</w:t>
      </w:r>
      <w:hyperlink r:id="rId11" w:history="1">
        <w:r w:rsidRPr="00F355DD">
          <w:rPr>
            <w:rStyle w:val="a6"/>
            <w:rFonts w:ascii="宋体" w:eastAsia="宋体" w:hAnsi="宋体"/>
            <w:bCs/>
            <w:sz w:val="24"/>
            <w:szCs w:val="24"/>
          </w:rPr>
          <w:t>国家税务总局公告2011年第22号</w:t>
        </w:r>
      </w:hyperlink>
      <w:r w:rsidRPr="006A20C9">
        <w:rPr>
          <w:rFonts w:ascii="宋体" w:eastAsia="宋体" w:hAnsi="宋体" w:hint="eastAsia"/>
          <w:bCs/>
          <w:color w:val="000000" w:themeColor="text1"/>
          <w:sz w:val="24"/>
          <w:szCs w:val="24"/>
        </w:rPr>
        <w:t>第一条）</w:t>
      </w:r>
    </w:p>
    <w:p w14:paraId="37F66775" w14:textId="7DF3980A" w:rsidR="006A20C9" w:rsidRPr="006A20C9" w:rsidRDefault="006A20C9" w:rsidP="006A20C9">
      <w:pPr>
        <w:pStyle w:val="2"/>
        <w:spacing w:before="50" w:after="0" w:line="480" w:lineRule="atLeast"/>
        <w:rPr>
          <w:rFonts w:ascii="宋体" w:eastAsia="宋体" w:hAnsi="宋体"/>
          <w:sz w:val="24"/>
          <w:szCs w:val="24"/>
        </w:rPr>
      </w:pPr>
      <w:r w:rsidRPr="006A20C9">
        <w:rPr>
          <w:rFonts w:ascii="宋体" w:eastAsia="宋体" w:hAnsi="宋体" w:hint="eastAsia"/>
          <w:sz w:val="24"/>
          <w:szCs w:val="24"/>
        </w:rPr>
        <w:t>（一）主要概念</w:t>
      </w:r>
    </w:p>
    <w:p w14:paraId="02EBC2EF" w14:textId="3CB40CE4" w:rsidR="006A20C9" w:rsidRPr="006A20C9" w:rsidRDefault="006A20C9" w:rsidP="006A20C9">
      <w:pPr>
        <w:pStyle w:val="3"/>
        <w:spacing w:before="50" w:after="0" w:line="480" w:lineRule="atLeast"/>
        <w:rPr>
          <w:rFonts w:ascii="宋体" w:eastAsia="宋体" w:hAnsi="宋体"/>
          <w:sz w:val="24"/>
          <w:szCs w:val="24"/>
        </w:rPr>
      </w:pPr>
      <w:r w:rsidRPr="006A20C9">
        <w:rPr>
          <w:rFonts w:ascii="宋体" w:eastAsia="宋体" w:hAnsi="宋体" w:hint="eastAsia"/>
          <w:sz w:val="24"/>
          <w:szCs w:val="24"/>
        </w:rPr>
        <w:t>1、本办法所指弃置费</w:t>
      </w:r>
    </w:p>
    <w:p w14:paraId="29A1EC9E" w14:textId="77777777" w:rsidR="006A20C9" w:rsidRPr="006A20C9" w:rsidRDefault="006A20C9" w:rsidP="006A20C9">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6A20C9">
        <w:rPr>
          <w:rFonts w:ascii="宋体" w:eastAsia="宋体" w:hAnsi="宋体" w:cs="宋体" w:hint="eastAsia"/>
          <w:color w:val="000000" w:themeColor="text1"/>
          <w:kern w:val="0"/>
          <w:sz w:val="24"/>
          <w:szCs w:val="24"/>
        </w:rPr>
        <w:t>指从事开采我国海上油气资源的企业，为承担油气生产设施废弃处置的责任和义务所发生的，用于井及相关设施的废弃、拆移、填埋等恢复生态环境及其前期准备等各项专项支出。主要包括弃置前期研究、停产准备、工程设施弃置、油井弃置等相关费用。</w:t>
      </w:r>
    </w:p>
    <w:p w14:paraId="43FF402B" w14:textId="7936DA5D" w:rsidR="006A20C9" w:rsidRPr="006A20C9" w:rsidRDefault="006A20C9" w:rsidP="006A20C9">
      <w:pPr>
        <w:widowControl/>
        <w:spacing w:beforeLines="50" w:before="156" w:line="480" w:lineRule="atLeast"/>
        <w:ind w:firstLineChars="200" w:firstLine="480"/>
        <w:jc w:val="right"/>
        <w:rPr>
          <w:rFonts w:ascii="宋体" w:eastAsia="宋体" w:hAnsi="宋体"/>
          <w:bCs/>
          <w:color w:val="000000" w:themeColor="text1"/>
          <w:sz w:val="24"/>
          <w:szCs w:val="24"/>
        </w:rPr>
      </w:pPr>
      <w:r w:rsidRPr="006A20C9">
        <w:rPr>
          <w:rFonts w:ascii="宋体" w:eastAsia="宋体" w:hAnsi="宋体" w:hint="eastAsia"/>
          <w:bCs/>
          <w:color w:val="000000" w:themeColor="text1"/>
          <w:sz w:val="24"/>
          <w:szCs w:val="24"/>
        </w:rPr>
        <w:t>（</w:t>
      </w:r>
      <w:hyperlink r:id="rId12" w:history="1">
        <w:r w:rsidR="00F355DD" w:rsidRPr="00F355DD">
          <w:rPr>
            <w:rStyle w:val="a6"/>
            <w:rFonts w:ascii="宋体" w:eastAsia="宋体" w:hAnsi="宋体"/>
            <w:bCs/>
            <w:sz w:val="24"/>
            <w:szCs w:val="24"/>
          </w:rPr>
          <w:t>国家税务总局公告2011年第22号</w:t>
        </w:r>
      </w:hyperlink>
      <w:r w:rsidRPr="006A20C9">
        <w:rPr>
          <w:rFonts w:ascii="宋体" w:eastAsia="宋体" w:hAnsi="宋体" w:hint="eastAsia"/>
          <w:bCs/>
          <w:color w:val="000000" w:themeColor="text1"/>
          <w:sz w:val="24"/>
          <w:szCs w:val="24"/>
        </w:rPr>
        <w:t>第二条）</w:t>
      </w:r>
    </w:p>
    <w:p w14:paraId="324D8923" w14:textId="55EC321C" w:rsidR="006A20C9" w:rsidRPr="006A20C9" w:rsidRDefault="006A20C9" w:rsidP="006A20C9">
      <w:pPr>
        <w:pStyle w:val="3"/>
        <w:spacing w:before="50" w:after="0" w:line="480" w:lineRule="atLeast"/>
        <w:rPr>
          <w:rFonts w:ascii="宋体" w:eastAsia="宋体" w:hAnsi="宋体"/>
          <w:sz w:val="24"/>
          <w:szCs w:val="24"/>
        </w:rPr>
      </w:pPr>
      <w:r w:rsidRPr="006A20C9">
        <w:rPr>
          <w:rFonts w:ascii="宋体" w:eastAsia="宋体" w:hAnsi="宋体" w:hint="eastAsia"/>
          <w:sz w:val="24"/>
          <w:szCs w:val="24"/>
        </w:rPr>
        <w:t>2、本办法所指海上油气生产设施（以下简称设施）</w:t>
      </w:r>
    </w:p>
    <w:p w14:paraId="6392E38C" w14:textId="77777777" w:rsidR="006A20C9" w:rsidRPr="006A20C9" w:rsidRDefault="006A20C9" w:rsidP="006A20C9">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6A20C9">
        <w:rPr>
          <w:rFonts w:ascii="宋体" w:eastAsia="宋体" w:hAnsi="宋体" w:cs="宋体" w:hint="eastAsia"/>
          <w:color w:val="000000" w:themeColor="text1"/>
          <w:kern w:val="0"/>
          <w:sz w:val="24"/>
          <w:szCs w:val="24"/>
        </w:rPr>
        <w:t>包括海上油井、气井、水井、固定平台、人工岛、单点系泊、浮式生产储油装置，海底电缆、管道、水下生产系统，陆岸终端，以及其他水上、水下的油气生产的相关辅助配套设施。</w:t>
      </w:r>
    </w:p>
    <w:p w14:paraId="153057EA" w14:textId="6EA0A6AA" w:rsidR="006A20C9" w:rsidRPr="006A20C9" w:rsidRDefault="006A20C9" w:rsidP="006A20C9">
      <w:pPr>
        <w:widowControl/>
        <w:spacing w:beforeLines="50" w:before="156" w:line="480" w:lineRule="atLeast"/>
        <w:ind w:firstLineChars="200" w:firstLine="480"/>
        <w:jc w:val="right"/>
        <w:rPr>
          <w:rFonts w:ascii="宋体" w:eastAsia="宋体" w:hAnsi="宋体"/>
          <w:bCs/>
          <w:color w:val="000000" w:themeColor="text1"/>
          <w:sz w:val="24"/>
          <w:szCs w:val="24"/>
        </w:rPr>
      </w:pPr>
      <w:r w:rsidRPr="006A20C9">
        <w:rPr>
          <w:rFonts w:ascii="宋体" w:eastAsia="宋体" w:hAnsi="宋体" w:hint="eastAsia"/>
          <w:bCs/>
          <w:color w:val="000000" w:themeColor="text1"/>
          <w:sz w:val="24"/>
          <w:szCs w:val="24"/>
        </w:rPr>
        <w:lastRenderedPageBreak/>
        <w:t>（</w:t>
      </w:r>
      <w:hyperlink r:id="rId13" w:history="1">
        <w:r w:rsidR="00F355DD" w:rsidRPr="00F355DD">
          <w:rPr>
            <w:rStyle w:val="a6"/>
            <w:rFonts w:ascii="宋体" w:eastAsia="宋体" w:hAnsi="宋体"/>
            <w:bCs/>
            <w:sz w:val="24"/>
            <w:szCs w:val="24"/>
          </w:rPr>
          <w:t>国家税务总局公告2011年第22号</w:t>
        </w:r>
      </w:hyperlink>
      <w:r w:rsidRPr="006A20C9">
        <w:rPr>
          <w:rFonts w:ascii="宋体" w:eastAsia="宋体" w:hAnsi="宋体" w:hint="eastAsia"/>
          <w:bCs/>
          <w:color w:val="000000" w:themeColor="text1"/>
          <w:sz w:val="24"/>
          <w:szCs w:val="24"/>
        </w:rPr>
        <w:t>第三条）</w:t>
      </w:r>
    </w:p>
    <w:p w14:paraId="7AA96E9E" w14:textId="403EE927" w:rsidR="006A20C9" w:rsidRPr="006A20C9" w:rsidRDefault="006A20C9" w:rsidP="006A20C9">
      <w:pPr>
        <w:pStyle w:val="3"/>
        <w:spacing w:before="50" w:after="0" w:line="480" w:lineRule="atLeast"/>
        <w:rPr>
          <w:rFonts w:ascii="宋体" w:eastAsia="宋体" w:hAnsi="宋体"/>
          <w:sz w:val="24"/>
          <w:szCs w:val="24"/>
        </w:rPr>
      </w:pPr>
      <w:r w:rsidRPr="006A20C9">
        <w:rPr>
          <w:rFonts w:ascii="宋体" w:eastAsia="宋体" w:hAnsi="宋体" w:hint="eastAsia"/>
          <w:sz w:val="24"/>
          <w:szCs w:val="24"/>
        </w:rPr>
        <w:t>3、本办法所指企业</w:t>
      </w:r>
    </w:p>
    <w:p w14:paraId="51058F98" w14:textId="77777777" w:rsidR="006A20C9" w:rsidRPr="006A20C9" w:rsidRDefault="006A20C9" w:rsidP="006A20C9">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6A20C9">
        <w:rPr>
          <w:rFonts w:ascii="宋体" w:eastAsia="宋体" w:hAnsi="宋体" w:cs="宋体" w:hint="eastAsia"/>
          <w:color w:val="000000" w:themeColor="text1"/>
          <w:kern w:val="0"/>
          <w:sz w:val="24"/>
          <w:szCs w:val="24"/>
        </w:rPr>
        <w:t>指参与开采海上油气资源的中国企业和外国企业。</w:t>
      </w:r>
    </w:p>
    <w:p w14:paraId="5D629F25" w14:textId="65E56FB3" w:rsidR="006A20C9" w:rsidRPr="006A20C9" w:rsidRDefault="006A20C9" w:rsidP="006A20C9">
      <w:pPr>
        <w:widowControl/>
        <w:spacing w:beforeLines="50" w:before="156" w:line="480" w:lineRule="atLeast"/>
        <w:ind w:firstLineChars="200" w:firstLine="480"/>
        <w:jc w:val="right"/>
        <w:rPr>
          <w:rFonts w:ascii="宋体" w:eastAsia="宋体" w:hAnsi="宋体"/>
          <w:bCs/>
          <w:color w:val="000000" w:themeColor="text1"/>
          <w:sz w:val="24"/>
          <w:szCs w:val="24"/>
        </w:rPr>
      </w:pPr>
      <w:r w:rsidRPr="006A20C9">
        <w:rPr>
          <w:rFonts w:ascii="宋体" w:eastAsia="宋体" w:hAnsi="宋体" w:hint="eastAsia"/>
          <w:bCs/>
          <w:color w:val="000000" w:themeColor="text1"/>
          <w:sz w:val="24"/>
          <w:szCs w:val="24"/>
        </w:rPr>
        <w:t>（</w:t>
      </w:r>
      <w:hyperlink r:id="rId14" w:history="1">
        <w:r w:rsidR="00F355DD" w:rsidRPr="00F355DD">
          <w:rPr>
            <w:rStyle w:val="a6"/>
            <w:rFonts w:ascii="宋体" w:eastAsia="宋体" w:hAnsi="宋体"/>
            <w:bCs/>
            <w:sz w:val="24"/>
            <w:szCs w:val="24"/>
          </w:rPr>
          <w:t>国家税务总局公告2011年第22号</w:t>
        </w:r>
      </w:hyperlink>
      <w:r w:rsidRPr="006A20C9">
        <w:rPr>
          <w:rFonts w:ascii="宋体" w:eastAsia="宋体" w:hAnsi="宋体" w:hint="eastAsia"/>
          <w:bCs/>
          <w:color w:val="000000" w:themeColor="text1"/>
          <w:sz w:val="24"/>
          <w:szCs w:val="24"/>
        </w:rPr>
        <w:t>第四条）</w:t>
      </w:r>
    </w:p>
    <w:p w14:paraId="2B8041FB" w14:textId="2D843259" w:rsidR="006A20C9" w:rsidRPr="006A20C9" w:rsidRDefault="006A20C9" w:rsidP="006A20C9">
      <w:pPr>
        <w:pStyle w:val="3"/>
        <w:spacing w:before="50" w:after="0" w:line="480" w:lineRule="atLeast"/>
        <w:rPr>
          <w:rFonts w:ascii="宋体" w:eastAsia="宋体" w:hAnsi="宋体"/>
          <w:sz w:val="24"/>
          <w:szCs w:val="24"/>
        </w:rPr>
      </w:pPr>
      <w:r w:rsidRPr="006A20C9">
        <w:rPr>
          <w:rFonts w:ascii="宋体" w:eastAsia="宋体" w:hAnsi="宋体" w:hint="eastAsia"/>
          <w:sz w:val="24"/>
          <w:szCs w:val="24"/>
        </w:rPr>
        <w:t>4、本办法所指作业者</w:t>
      </w:r>
    </w:p>
    <w:p w14:paraId="72701777" w14:textId="77777777" w:rsidR="006A20C9" w:rsidRPr="006A20C9" w:rsidRDefault="006A20C9" w:rsidP="006A20C9">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6A20C9">
        <w:rPr>
          <w:rFonts w:ascii="宋体" w:eastAsia="宋体" w:hAnsi="宋体" w:cs="宋体" w:hint="eastAsia"/>
          <w:color w:val="000000" w:themeColor="text1"/>
          <w:kern w:val="0"/>
          <w:sz w:val="24"/>
          <w:szCs w:val="24"/>
        </w:rPr>
        <w:t>指负责海上油（气）田作业的实体。包括开采海上石油资源的本企业、或者投资各方企业。</w:t>
      </w:r>
    </w:p>
    <w:p w14:paraId="514135E7" w14:textId="117324FE" w:rsidR="006A20C9" w:rsidRPr="006A20C9" w:rsidRDefault="006A20C9" w:rsidP="006A20C9">
      <w:pPr>
        <w:widowControl/>
        <w:spacing w:beforeLines="50" w:before="156" w:line="480" w:lineRule="atLeast"/>
        <w:ind w:firstLineChars="200" w:firstLine="480"/>
        <w:jc w:val="right"/>
        <w:rPr>
          <w:rFonts w:ascii="宋体" w:eastAsia="宋体" w:hAnsi="宋体"/>
          <w:bCs/>
          <w:color w:val="000000" w:themeColor="text1"/>
          <w:sz w:val="24"/>
          <w:szCs w:val="24"/>
        </w:rPr>
      </w:pPr>
      <w:r w:rsidRPr="006A20C9">
        <w:rPr>
          <w:rFonts w:ascii="宋体" w:eastAsia="宋体" w:hAnsi="宋体" w:hint="eastAsia"/>
          <w:bCs/>
          <w:color w:val="000000" w:themeColor="text1"/>
          <w:sz w:val="24"/>
          <w:szCs w:val="24"/>
        </w:rPr>
        <w:t>（</w:t>
      </w:r>
      <w:hyperlink r:id="rId15" w:history="1">
        <w:r w:rsidR="00F355DD" w:rsidRPr="00F355DD">
          <w:rPr>
            <w:rStyle w:val="a6"/>
            <w:rFonts w:ascii="宋体" w:eastAsia="宋体" w:hAnsi="宋体"/>
            <w:bCs/>
            <w:sz w:val="24"/>
            <w:szCs w:val="24"/>
          </w:rPr>
          <w:t>国家税务总局公告2011年第22号</w:t>
        </w:r>
      </w:hyperlink>
      <w:r w:rsidRPr="006A20C9">
        <w:rPr>
          <w:rFonts w:ascii="宋体" w:eastAsia="宋体" w:hAnsi="宋体" w:hint="eastAsia"/>
          <w:bCs/>
          <w:color w:val="000000" w:themeColor="text1"/>
          <w:sz w:val="24"/>
          <w:szCs w:val="24"/>
        </w:rPr>
        <w:t>第五条）</w:t>
      </w:r>
    </w:p>
    <w:p w14:paraId="02AAB90C" w14:textId="7C178D7F" w:rsidR="006A20C9" w:rsidRPr="006A20C9" w:rsidRDefault="006A20C9" w:rsidP="006A20C9">
      <w:pPr>
        <w:pStyle w:val="2"/>
        <w:spacing w:before="50" w:after="0" w:line="480" w:lineRule="atLeast"/>
        <w:rPr>
          <w:rFonts w:ascii="宋体" w:eastAsia="宋体" w:hAnsi="宋体"/>
          <w:sz w:val="24"/>
          <w:szCs w:val="24"/>
        </w:rPr>
      </w:pPr>
      <w:r w:rsidRPr="006A20C9">
        <w:rPr>
          <w:rFonts w:ascii="宋体" w:eastAsia="宋体" w:hAnsi="宋体" w:hint="eastAsia"/>
          <w:sz w:val="24"/>
          <w:szCs w:val="24"/>
        </w:rPr>
        <w:t>（二）废弃处置方案的备案</w:t>
      </w:r>
    </w:p>
    <w:p w14:paraId="6A89C491" w14:textId="255FDB96" w:rsidR="006A20C9" w:rsidRPr="006A20C9" w:rsidRDefault="006A20C9" w:rsidP="006A20C9">
      <w:pPr>
        <w:widowControl/>
        <w:spacing w:beforeLines="50" w:before="156" w:line="480" w:lineRule="atLeast"/>
        <w:ind w:firstLineChars="200" w:firstLine="482"/>
        <w:jc w:val="left"/>
        <w:rPr>
          <w:rFonts w:ascii="宋体" w:eastAsia="宋体" w:hAnsi="宋体" w:cs="宋体"/>
          <w:color w:val="000000" w:themeColor="text1"/>
          <w:kern w:val="0"/>
          <w:sz w:val="24"/>
          <w:szCs w:val="24"/>
        </w:rPr>
      </w:pPr>
      <w:r w:rsidRPr="006A20C9">
        <w:rPr>
          <w:rFonts w:ascii="宋体" w:eastAsia="宋体" w:hAnsi="宋体" w:cs="宋体" w:hint="eastAsia"/>
          <w:b/>
          <w:color w:val="000000" w:themeColor="text1"/>
          <w:kern w:val="0"/>
          <w:sz w:val="24"/>
          <w:szCs w:val="24"/>
        </w:rPr>
        <w:t>1、</w:t>
      </w:r>
      <w:r w:rsidRPr="006A20C9">
        <w:rPr>
          <w:rFonts w:ascii="宋体" w:eastAsia="宋体" w:hAnsi="宋体" w:cs="宋体" w:hint="eastAsia"/>
          <w:color w:val="000000" w:themeColor="text1"/>
          <w:kern w:val="0"/>
          <w:sz w:val="24"/>
          <w:szCs w:val="24"/>
        </w:rPr>
        <w:t>企业开始提取弃置费前，应提供作业者编制的海上油（气）田设施废弃处置预备方案，报主管税务机关备案。预备方案应当包括弃置费估算、弃置费筹措方法和弃置方式等内容。</w:t>
      </w:r>
    </w:p>
    <w:p w14:paraId="4246EC42" w14:textId="728AE168" w:rsidR="006A20C9" w:rsidRPr="006A20C9" w:rsidRDefault="006A20C9" w:rsidP="006A20C9">
      <w:pPr>
        <w:widowControl/>
        <w:spacing w:beforeLines="50" w:before="156" w:line="480" w:lineRule="atLeast"/>
        <w:ind w:firstLineChars="200" w:firstLine="480"/>
        <w:jc w:val="right"/>
        <w:rPr>
          <w:rFonts w:ascii="宋体" w:eastAsia="宋体" w:hAnsi="宋体"/>
          <w:bCs/>
          <w:color w:val="000000" w:themeColor="text1"/>
          <w:sz w:val="24"/>
          <w:szCs w:val="24"/>
        </w:rPr>
      </w:pPr>
      <w:r w:rsidRPr="006A20C9">
        <w:rPr>
          <w:rFonts w:ascii="宋体" w:eastAsia="宋体" w:hAnsi="宋体" w:hint="eastAsia"/>
          <w:bCs/>
          <w:color w:val="000000" w:themeColor="text1"/>
          <w:sz w:val="24"/>
          <w:szCs w:val="24"/>
        </w:rPr>
        <w:t>（</w:t>
      </w:r>
      <w:hyperlink r:id="rId16" w:history="1">
        <w:r w:rsidR="00F355DD" w:rsidRPr="00F355DD">
          <w:rPr>
            <w:rStyle w:val="a6"/>
            <w:rFonts w:ascii="宋体" w:eastAsia="宋体" w:hAnsi="宋体"/>
            <w:bCs/>
            <w:sz w:val="24"/>
            <w:szCs w:val="24"/>
          </w:rPr>
          <w:t>国家税务总局公告2011年第22号</w:t>
        </w:r>
      </w:hyperlink>
      <w:r w:rsidRPr="006A20C9">
        <w:rPr>
          <w:rFonts w:ascii="宋体" w:eastAsia="宋体" w:hAnsi="宋体" w:hint="eastAsia"/>
          <w:bCs/>
          <w:color w:val="000000" w:themeColor="text1"/>
          <w:sz w:val="24"/>
          <w:szCs w:val="24"/>
        </w:rPr>
        <w:t>第六条）</w:t>
      </w:r>
    </w:p>
    <w:p w14:paraId="35E27AF1" w14:textId="134B8A8A" w:rsidR="006A20C9" w:rsidRPr="006A20C9" w:rsidRDefault="006A20C9" w:rsidP="006A20C9">
      <w:pPr>
        <w:widowControl/>
        <w:spacing w:beforeLines="50" w:before="156" w:line="480" w:lineRule="atLeast"/>
        <w:ind w:firstLineChars="200" w:firstLine="482"/>
        <w:jc w:val="left"/>
        <w:rPr>
          <w:rFonts w:ascii="宋体" w:eastAsia="宋体" w:hAnsi="宋体" w:cs="宋体"/>
          <w:color w:val="000000" w:themeColor="text1"/>
          <w:kern w:val="0"/>
          <w:sz w:val="24"/>
          <w:szCs w:val="24"/>
        </w:rPr>
      </w:pPr>
      <w:r w:rsidRPr="006A20C9">
        <w:rPr>
          <w:rFonts w:ascii="宋体" w:eastAsia="宋体" w:hAnsi="宋体" w:cs="宋体" w:hint="eastAsia"/>
          <w:b/>
          <w:color w:val="000000" w:themeColor="text1"/>
          <w:kern w:val="0"/>
          <w:sz w:val="24"/>
          <w:szCs w:val="24"/>
        </w:rPr>
        <w:t>2、</w:t>
      </w:r>
      <w:r w:rsidRPr="006A20C9">
        <w:rPr>
          <w:rFonts w:ascii="宋体" w:eastAsia="宋体" w:hAnsi="宋体" w:cs="宋体" w:hint="eastAsia"/>
          <w:color w:val="000000" w:themeColor="text1"/>
          <w:kern w:val="0"/>
          <w:sz w:val="24"/>
          <w:szCs w:val="24"/>
        </w:rPr>
        <w:t>设施废弃处置预备方案发生修改的，企业应在修改后的30日内报主管税务机关备案。</w:t>
      </w:r>
    </w:p>
    <w:p w14:paraId="4C9336A8" w14:textId="0955F9A9" w:rsidR="006A20C9" w:rsidRPr="006A20C9" w:rsidRDefault="006A20C9" w:rsidP="006A20C9">
      <w:pPr>
        <w:widowControl/>
        <w:spacing w:beforeLines="50" w:before="156" w:line="480" w:lineRule="atLeast"/>
        <w:ind w:firstLineChars="200" w:firstLine="480"/>
        <w:jc w:val="right"/>
        <w:rPr>
          <w:rFonts w:ascii="宋体" w:eastAsia="宋体" w:hAnsi="宋体"/>
          <w:bCs/>
          <w:color w:val="000000" w:themeColor="text1"/>
          <w:sz w:val="24"/>
          <w:szCs w:val="24"/>
        </w:rPr>
      </w:pPr>
      <w:r w:rsidRPr="006A20C9">
        <w:rPr>
          <w:rFonts w:ascii="宋体" w:eastAsia="宋体" w:hAnsi="宋体" w:hint="eastAsia"/>
          <w:bCs/>
          <w:color w:val="000000" w:themeColor="text1"/>
          <w:sz w:val="24"/>
          <w:szCs w:val="24"/>
        </w:rPr>
        <w:t>（</w:t>
      </w:r>
      <w:hyperlink r:id="rId17" w:history="1">
        <w:r w:rsidR="00F355DD" w:rsidRPr="00F355DD">
          <w:rPr>
            <w:rStyle w:val="a6"/>
            <w:rFonts w:ascii="宋体" w:eastAsia="宋体" w:hAnsi="宋体"/>
            <w:bCs/>
            <w:sz w:val="24"/>
            <w:szCs w:val="24"/>
          </w:rPr>
          <w:t>国家税务总局公告2011年第22号</w:t>
        </w:r>
      </w:hyperlink>
      <w:r w:rsidRPr="006A20C9">
        <w:rPr>
          <w:rFonts w:ascii="宋体" w:eastAsia="宋体" w:hAnsi="宋体" w:hint="eastAsia"/>
          <w:bCs/>
          <w:color w:val="000000" w:themeColor="text1"/>
          <w:sz w:val="24"/>
          <w:szCs w:val="24"/>
        </w:rPr>
        <w:t>第七条）</w:t>
      </w:r>
    </w:p>
    <w:p w14:paraId="46A4B355" w14:textId="76DCCC00" w:rsidR="006A20C9" w:rsidRPr="006A20C9" w:rsidRDefault="006A20C9" w:rsidP="006A20C9">
      <w:pPr>
        <w:widowControl/>
        <w:spacing w:beforeLines="50" w:before="156" w:line="480" w:lineRule="atLeast"/>
        <w:ind w:firstLineChars="200" w:firstLine="482"/>
        <w:jc w:val="left"/>
        <w:rPr>
          <w:rFonts w:ascii="宋体" w:eastAsia="宋体" w:hAnsi="宋体" w:cs="宋体"/>
          <w:color w:val="000000" w:themeColor="text1"/>
          <w:kern w:val="0"/>
          <w:sz w:val="24"/>
          <w:szCs w:val="24"/>
        </w:rPr>
      </w:pPr>
      <w:r w:rsidRPr="006A20C9">
        <w:rPr>
          <w:rFonts w:ascii="宋体" w:eastAsia="宋体" w:hAnsi="宋体" w:cs="宋体" w:hint="eastAsia"/>
          <w:b/>
          <w:color w:val="000000" w:themeColor="text1"/>
          <w:kern w:val="0"/>
          <w:sz w:val="24"/>
          <w:szCs w:val="24"/>
        </w:rPr>
        <w:t>3、</w:t>
      </w:r>
      <w:r w:rsidRPr="006A20C9">
        <w:rPr>
          <w:rFonts w:ascii="宋体" w:eastAsia="宋体" w:hAnsi="宋体" w:cs="宋体" w:hint="eastAsia"/>
          <w:color w:val="000000" w:themeColor="text1"/>
          <w:kern w:val="0"/>
          <w:sz w:val="24"/>
          <w:szCs w:val="24"/>
        </w:rPr>
        <w:t>海上油（气）田实施弃置作业前，应将其按照国家有关主管部门要求编制的设施废弃处置实施方案，报主管税务机关备案。</w:t>
      </w:r>
    </w:p>
    <w:p w14:paraId="378097B9" w14:textId="3357333E" w:rsidR="006A20C9" w:rsidRPr="006A20C9" w:rsidRDefault="006A20C9" w:rsidP="006A20C9">
      <w:pPr>
        <w:widowControl/>
        <w:spacing w:beforeLines="50" w:before="156" w:line="480" w:lineRule="atLeast"/>
        <w:ind w:firstLineChars="200" w:firstLine="480"/>
        <w:jc w:val="right"/>
        <w:rPr>
          <w:rFonts w:ascii="宋体" w:eastAsia="宋体" w:hAnsi="宋体"/>
          <w:bCs/>
          <w:color w:val="000000" w:themeColor="text1"/>
          <w:sz w:val="24"/>
          <w:szCs w:val="24"/>
        </w:rPr>
      </w:pPr>
      <w:r w:rsidRPr="006A20C9">
        <w:rPr>
          <w:rFonts w:ascii="宋体" w:eastAsia="宋体" w:hAnsi="宋体" w:hint="eastAsia"/>
          <w:bCs/>
          <w:color w:val="000000" w:themeColor="text1"/>
          <w:sz w:val="24"/>
          <w:szCs w:val="24"/>
        </w:rPr>
        <w:t>（</w:t>
      </w:r>
      <w:hyperlink r:id="rId18" w:history="1">
        <w:r w:rsidR="00F355DD" w:rsidRPr="00F355DD">
          <w:rPr>
            <w:rStyle w:val="a6"/>
            <w:rFonts w:ascii="宋体" w:eastAsia="宋体" w:hAnsi="宋体"/>
            <w:bCs/>
            <w:sz w:val="24"/>
            <w:szCs w:val="24"/>
          </w:rPr>
          <w:t>国家税务总局公告2011年第22号</w:t>
        </w:r>
      </w:hyperlink>
      <w:r w:rsidRPr="006A20C9">
        <w:rPr>
          <w:rFonts w:ascii="宋体" w:eastAsia="宋体" w:hAnsi="宋体" w:hint="eastAsia"/>
          <w:bCs/>
          <w:color w:val="000000" w:themeColor="text1"/>
          <w:sz w:val="24"/>
          <w:szCs w:val="24"/>
        </w:rPr>
        <w:t>第八一条）</w:t>
      </w:r>
    </w:p>
    <w:p w14:paraId="5B4977DC" w14:textId="1EA7DDD4" w:rsidR="006A20C9" w:rsidRPr="006A20C9" w:rsidRDefault="006A20C9" w:rsidP="006A20C9">
      <w:pPr>
        <w:pStyle w:val="2"/>
        <w:spacing w:before="50" w:after="0" w:line="480" w:lineRule="atLeast"/>
        <w:rPr>
          <w:rFonts w:ascii="宋体" w:eastAsia="宋体" w:hAnsi="宋体"/>
          <w:sz w:val="24"/>
          <w:szCs w:val="24"/>
        </w:rPr>
      </w:pPr>
      <w:r w:rsidRPr="006A20C9">
        <w:rPr>
          <w:rFonts w:ascii="宋体" w:eastAsia="宋体" w:hAnsi="宋体" w:hint="eastAsia"/>
          <w:sz w:val="24"/>
          <w:szCs w:val="24"/>
        </w:rPr>
        <w:t>（三）弃置费的计提和税前扣除</w:t>
      </w:r>
    </w:p>
    <w:p w14:paraId="2C882317" w14:textId="38BD8E04" w:rsidR="006A20C9" w:rsidRPr="006A20C9" w:rsidRDefault="006A20C9" w:rsidP="006A20C9">
      <w:pPr>
        <w:pStyle w:val="3"/>
        <w:spacing w:before="50" w:after="0" w:line="480" w:lineRule="atLeast"/>
        <w:rPr>
          <w:rFonts w:ascii="宋体" w:eastAsia="宋体" w:hAnsi="宋体"/>
          <w:sz w:val="24"/>
          <w:szCs w:val="24"/>
        </w:rPr>
      </w:pPr>
      <w:r w:rsidRPr="006A20C9">
        <w:rPr>
          <w:rFonts w:ascii="宋体" w:eastAsia="宋体" w:hAnsi="宋体" w:hint="eastAsia"/>
          <w:sz w:val="24"/>
          <w:szCs w:val="24"/>
        </w:rPr>
        <w:t>1、计提方法</w:t>
      </w:r>
    </w:p>
    <w:p w14:paraId="7DB6FFF8" w14:textId="77777777" w:rsidR="006A20C9" w:rsidRPr="006A20C9" w:rsidRDefault="006A20C9" w:rsidP="006A20C9">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6A20C9">
        <w:rPr>
          <w:rFonts w:ascii="宋体" w:eastAsia="宋体" w:hAnsi="宋体" w:cs="宋体" w:hint="eastAsia"/>
          <w:color w:val="000000" w:themeColor="text1"/>
          <w:kern w:val="0"/>
          <w:sz w:val="24"/>
          <w:szCs w:val="24"/>
        </w:rPr>
        <w:t>海上油（气）田弃置费，按照设施废弃处置预备方案中规定的方法（产量法或年限平均法）按月提取。多个企业合作开发一个油（气）田的，其弃置费计提</w:t>
      </w:r>
      <w:r w:rsidRPr="006A20C9">
        <w:rPr>
          <w:rFonts w:ascii="宋体" w:eastAsia="宋体" w:hAnsi="宋体" w:cs="宋体" w:hint="eastAsia"/>
          <w:color w:val="000000" w:themeColor="text1"/>
          <w:kern w:val="0"/>
          <w:sz w:val="24"/>
          <w:szCs w:val="24"/>
        </w:rPr>
        <w:lastRenderedPageBreak/>
        <w:t>应该采取同一方法。企业弃置费计提方法确定后，除设施废弃处置预备方案修改外，不得变更。</w:t>
      </w:r>
    </w:p>
    <w:p w14:paraId="7086CC65" w14:textId="76CD1547" w:rsidR="006A20C9" w:rsidRPr="006A20C9" w:rsidRDefault="006A20C9" w:rsidP="006A20C9">
      <w:pPr>
        <w:widowControl/>
        <w:spacing w:beforeLines="50" w:before="156" w:line="480" w:lineRule="atLeast"/>
        <w:ind w:firstLineChars="200" w:firstLine="480"/>
        <w:jc w:val="right"/>
        <w:rPr>
          <w:rFonts w:ascii="宋体" w:eastAsia="宋体" w:hAnsi="宋体"/>
          <w:bCs/>
          <w:color w:val="000000" w:themeColor="text1"/>
          <w:sz w:val="24"/>
          <w:szCs w:val="24"/>
        </w:rPr>
      </w:pPr>
      <w:r w:rsidRPr="006A20C9">
        <w:rPr>
          <w:rFonts w:ascii="宋体" w:eastAsia="宋体" w:hAnsi="宋体" w:hint="eastAsia"/>
          <w:bCs/>
          <w:color w:val="000000" w:themeColor="text1"/>
          <w:sz w:val="24"/>
          <w:szCs w:val="24"/>
        </w:rPr>
        <w:t>（</w:t>
      </w:r>
      <w:hyperlink r:id="rId19" w:history="1">
        <w:r w:rsidR="00F355DD" w:rsidRPr="00F355DD">
          <w:rPr>
            <w:rStyle w:val="a6"/>
            <w:rFonts w:ascii="宋体" w:eastAsia="宋体" w:hAnsi="宋体"/>
            <w:bCs/>
            <w:sz w:val="24"/>
            <w:szCs w:val="24"/>
          </w:rPr>
          <w:t>国家税务总局公告2011年第22号</w:t>
        </w:r>
      </w:hyperlink>
      <w:r w:rsidRPr="006A20C9">
        <w:rPr>
          <w:rFonts w:ascii="宋体" w:eastAsia="宋体" w:hAnsi="宋体" w:hint="eastAsia"/>
          <w:bCs/>
          <w:color w:val="000000" w:themeColor="text1"/>
          <w:sz w:val="24"/>
          <w:szCs w:val="24"/>
        </w:rPr>
        <w:t>第九条）</w:t>
      </w:r>
    </w:p>
    <w:p w14:paraId="7E5C2FE8" w14:textId="5BE2AF9A" w:rsidR="006A20C9" w:rsidRPr="006A20C9" w:rsidRDefault="006A20C9" w:rsidP="006A20C9">
      <w:pPr>
        <w:pStyle w:val="4"/>
        <w:spacing w:before="50" w:after="0" w:line="480" w:lineRule="atLeast"/>
        <w:rPr>
          <w:rFonts w:ascii="宋体" w:eastAsia="宋体" w:hAnsi="宋体"/>
          <w:sz w:val="24"/>
          <w:szCs w:val="24"/>
        </w:rPr>
      </w:pPr>
      <w:r w:rsidRPr="006A20C9">
        <w:rPr>
          <w:rFonts w:ascii="宋体" w:eastAsia="宋体" w:hAnsi="宋体" w:hint="eastAsia"/>
          <w:sz w:val="24"/>
          <w:szCs w:val="24"/>
        </w:rPr>
        <w:t>（1）年限平均法</w:t>
      </w:r>
    </w:p>
    <w:p w14:paraId="31A6C2CE" w14:textId="77777777" w:rsidR="006A20C9" w:rsidRPr="006A20C9" w:rsidRDefault="006A20C9" w:rsidP="006A20C9">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6A20C9">
        <w:rPr>
          <w:rFonts w:ascii="宋体" w:eastAsia="宋体" w:hAnsi="宋体" w:cs="宋体" w:hint="eastAsia"/>
          <w:color w:val="000000" w:themeColor="text1"/>
          <w:kern w:val="0"/>
          <w:sz w:val="24"/>
          <w:szCs w:val="24"/>
        </w:rPr>
        <w:t>采用年限平均法分月计提弃置费，应按照以下公式计算：</w:t>
      </w:r>
    </w:p>
    <w:p w14:paraId="658C257C" w14:textId="77777777" w:rsidR="006A20C9" w:rsidRPr="006A20C9" w:rsidRDefault="006A20C9" w:rsidP="006A20C9">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6A20C9">
        <w:rPr>
          <w:rFonts w:ascii="宋体" w:eastAsia="宋体" w:hAnsi="宋体" w:cs="宋体" w:hint="eastAsia"/>
          <w:color w:val="000000" w:themeColor="text1"/>
          <w:kern w:val="0"/>
          <w:sz w:val="24"/>
          <w:szCs w:val="24"/>
        </w:rPr>
        <w:t>当月计提弃置费＝（预备方案中的弃置费总额-累计已计提弃置费用）÷合同生产期（月）-当月弃置费专款账户损益</w:t>
      </w:r>
    </w:p>
    <w:p w14:paraId="4C86FF48" w14:textId="5B69D22A" w:rsidR="006A20C9" w:rsidRPr="006A20C9" w:rsidRDefault="006A20C9" w:rsidP="006A20C9">
      <w:pPr>
        <w:widowControl/>
        <w:spacing w:beforeLines="50" w:before="156" w:line="480" w:lineRule="atLeast"/>
        <w:ind w:firstLineChars="200" w:firstLine="480"/>
        <w:jc w:val="right"/>
        <w:rPr>
          <w:rFonts w:ascii="宋体" w:eastAsia="宋体" w:hAnsi="宋体"/>
          <w:bCs/>
          <w:color w:val="000000" w:themeColor="text1"/>
          <w:sz w:val="24"/>
          <w:szCs w:val="24"/>
        </w:rPr>
      </w:pPr>
      <w:r w:rsidRPr="006A20C9">
        <w:rPr>
          <w:rFonts w:ascii="宋体" w:eastAsia="宋体" w:hAnsi="宋体" w:hint="eastAsia"/>
          <w:bCs/>
          <w:color w:val="000000" w:themeColor="text1"/>
          <w:sz w:val="24"/>
          <w:szCs w:val="24"/>
        </w:rPr>
        <w:t>（</w:t>
      </w:r>
      <w:hyperlink r:id="rId20" w:history="1">
        <w:r w:rsidR="00F355DD" w:rsidRPr="00F355DD">
          <w:rPr>
            <w:rStyle w:val="a6"/>
            <w:rFonts w:ascii="宋体" w:eastAsia="宋体" w:hAnsi="宋体"/>
            <w:bCs/>
            <w:sz w:val="24"/>
            <w:szCs w:val="24"/>
          </w:rPr>
          <w:t>国家税务总局公告2011年第22号</w:t>
        </w:r>
      </w:hyperlink>
      <w:r w:rsidRPr="006A20C9">
        <w:rPr>
          <w:rFonts w:ascii="宋体" w:eastAsia="宋体" w:hAnsi="宋体" w:hint="eastAsia"/>
          <w:bCs/>
          <w:color w:val="000000" w:themeColor="text1"/>
          <w:sz w:val="24"/>
          <w:szCs w:val="24"/>
        </w:rPr>
        <w:t>第十一条第一款）</w:t>
      </w:r>
    </w:p>
    <w:p w14:paraId="71FC42F2" w14:textId="77777777" w:rsidR="006A20C9" w:rsidRPr="006A20C9" w:rsidRDefault="006A20C9" w:rsidP="006A20C9">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6A20C9">
        <w:rPr>
          <w:rFonts w:ascii="宋体" w:eastAsia="宋体" w:hAnsi="宋体" w:cs="宋体" w:hint="eastAsia"/>
          <w:color w:val="000000" w:themeColor="text1"/>
          <w:kern w:val="0"/>
          <w:sz w:val="24"/>
          <w:szCs w:val="24"/>
        </w:rPr>
        <w:t>本条及下条公式中的“当月弃置费专款账户损益”，包括专款账户利息、汇兑损益等。其中汇兑损益为弃置费以人民币以外货币计提存储情况下，按照上月末即期人民币汇率中间价折算为人民币时，弃置费专款账户余额发生的汇兑损益。</w:t>
      </w:r>
      <w:r w:rsidRPr="006A20C9">
        <w:rPr>
          <w:rFonts w:ascii="宋体" w:eastAsia="宋体" w:hAnsi="宋体" w:cs="宋体" w:hint="eastAsia"/>
          <w:color w:val="000000" w:themeColor="text1"/>
          <w:kern w:val="0"/>
          <w:sz w:val="24"/>
          <w:szCs w:val="24"/>
        </w:rPr>
        <w:br/>
        <w:t>本办法实施前已进入商业生产的海上油（气）田，合同生产期（月）为开始计提弃置费的剩余月份。</w:t>
      </w:r>
    </w:p>
    <w:p w14:paraId="75A13D4A" w14:textId="5E7D2E6A" w:rsidR="006A20C9" w:rsidRPr="006A20C9" w:rsidRDefault="006A20C9" w:rsidP="006A20C9">
      <w:pPr>
        <w:widowControl/>
        <w:spacing w:beforeLines="50" w:before="156" w:line="480" w:lineRule="atLeast"/>
        <w:ind w:firstLineChars="200" w:firstLine="480"/>
        <w:jc w:val="right"/>
        <w:rPr>
          <w:rFonts w:ascii="宋体" w:eastAsia="宋体" w:hAnsi="宋体"/>
          <w:bCs/>
          <w:color w:val="000000" w:themeColor="text1"/>
          <w:sz w:val="24"/>
          <w:szCs w:val="24"/>
        </w:rPr>
      </w:pPr>
      <w:r w:rsidRPr="006A20C9">
        <w:rPr>
          <w:rFonts w:ascii="宋体" w:eastAsia="宋体" w:hAnsi="宋体" w:hint="eastAsia"/>
          <w:bCs/>
          <w:color w:val="000000" w:themeColor="text1"/>
          <w:sz w:val="24"/>
          <w:szCs w:val="24"/>
        </w:rPr>
        <w:t>（</w:t>
      </w:r>
      <w:hyperlink r:id="rId21" w:history="1">
        <w:r w:rsidR="00F355DD" w:rsidRPr="00F355DD">
          <w:rPr>
            <w:rStyle w:val="a6"/>
            <w:rFonts w:ascii="宋体" w:eastAsia="宋体" w:hAnsi="宋体"/>
            <w:bCs/>
            <w:sz w:val="24"/>
            <w:szCs w:val="24"/>
          </w:rPr>
          <w:t>国家税务总局公告2011年第22号</w:t>
        </w:r>
      </w:hyperlink>
      <w:r w:rsidRPr="006A20C9">
        <w:rPr>
          <w:rFonts w:ascii="宋体" w:eastAsia="宋体" w:hAnsi="宋体" w:hint="eastAsia"/>
          <w:bCs/>
          <w:color w:val="000000" w:themeColor="text1"/>
          <w:sz w:val="24"/>
          <w:szCs w:val="24"/>
        </w:rPr>
        <w:t>第十一条第二款）</w:t>
      </w:r>
    </w:p>
    <w:p w14:paraId="45B937FE" w14:textId="1C2AA45F" w:rsidR="006A20C9" w:rsidRPr="006A20C9" w:rsidRDefault="006A20C9" w:rsidP="006A20C9">
      <w:pPr>
        <w:pStyle w:val="4"/>
        <w:spacing w:before="50" w:after="0" w:line="480" w:lineRule="atLeast"/>
        <w:rPr>
          <w:rFonts w:ascii="宋体" w:eastAsia="宋体" w:hAnsi="宋体"/>
          <w:sz w:val="24"/>
          <w:szCs w:val="24"/>
        </w:rPr>
      </w:pPr>
      <w:r w:rsidRPr="006A20C9">
        <w:rPr>
          <w:rFonts w:ascii="宋体" w:eastAsia="宋体" w:hAnsi="宋体" w:hint="eastAsia"/>
          <w:sz w:val="24"/>
          <w:szCs w:val="24"/>
        </w:rPr>
        <w:t>（2）产量法</w:t>
      </w:r>
    </w:p>
    <w:p w14:paraId="6DA5EBB4" w14:textId="77777777" w:rsidR="006A20C9" w:rsidRPr="006A20C9" w:rsidRDefault="006A20C9" w:rsidP="006A20C9">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6A20C9">
        <w:rPr>
          <w:rFonts w:ascii="宋体" w:eastAsia="宋体" w:hAnsi="宋体" w:cs="宋体" w:hint="eastAsia"/>
          <w:color w:val="000000" w:themeColor="text1"/>
          <w:kern w:val="0"/>
          <w:sz w:val="24"/>
          <w:szCs w:val="24"/>
        </w:rPr>
        <w:t>采用</w:t>
      </w:r>
      <w:bookmarkStart w:id="1" w:name="_Hlk13516345"/>
      <w:r w:rsidRPr="006A20C9">
        <w:rPr>
          <w:rFonts w:ascii="宋体" w:eastAsia="宋体" w:hAnsi="宋体" w:cs="宋体" w:hint="eastAsia"/>
          <w:color w:val="000000" w:themeColor="text1"/>
          <w:kern w:val="0"/>
          <w:sz w:val="24"/>
          <w:szCs w:val="24"/>
        </w:rPr>
        <w:t>产量法</w:t>
      </w:r>
      <w:bookmarkEnd w:id="1"/>
      <w:r w:rsidRPr="006A20C9">
        <w:rPr>
          <w:rFonts w:ascii="宋体" w:eastAsia="宋体" w:hAnsi="宋体" w:cs="宋体" w:hint="eastAsia"/>
          <w:color w:val="000000" w:themeColor="text1"/>
          <w:kern w:val="0"/>
          <w:sz w:val="24"/>
          <w:szCs w:val="24"/>
        </w:rPr>
        <w:t>计提弃置费，应按照以下公式计算：</w:t>
      </w:r>
    </w:p>
    <w:p w14:paraId="11504FD4" w14:textId="77777777" w:rsidR="006A20C9" w:rsidRPr="006A20C9" w:rsidRDefault="006A20C9" w:rsidP="006A20C9">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6A20C9">
        <w:rPr>
          <w:rFonts w:ascii="宋体" w:eastAsia="宋体" w:hAnsi="宋体" w:cs="宋体" w:hint="eastAsia"/>
          <w:color w:val="000000" w:themeColor="text1"/>
          <w:kern w:val="0"/>
          <w:sz w:val="24"/>
          <w:szCs w:val="24"/>
        </w:rPr>
        <w:t>本月计提弃置费＝（预备方案中的弃置费总额-累计已计提弃置费用）×本月计提比例－当月弃置费专款账户损益</w:t>
      </w:r>
    </w:p>
    <w:p w14:paraId="5113402C" w14:textId="2735A08C" w:rsidR="006A20C9" w:rsidRPr="006A20C9" w:rsidRDefault="006A20C9" w:rsidP="006A20C9">
      <w:pPr>
        <w:widowControl/>
        <w:spacing w:beforeLines="50" w:before="156" w:line="480" w:lineRule="atLeast"/>
        <w:ind w:firstLineChars="200" w:firstLine="480"/>
        <w:jc w:val="right"/>
        <w:rPr>
          <w:rFonts w:ascii="宋体" w:eastAsia="宋体" w:hAnsi="宋体"/>
          <w:bCs/>
          <w:color w:val="000000" w:themeColor="text1"/>
          <w:sz w:val="24"/>
          <w:szCs w:val="24"/>
        </w:rPr>
      </w:pPr>
      <w:r w:rsidRPr="006A20C9">
        <w:rPr>
          <w:rFonts w:ascii="宋体" w:eastAsia="宋体" w:hAnsi="宋体" w:hint="eastAsia"/>
          <w:bCs/>
          <w:color w:val="000000" w:themeColor="text1"/>
          <w:sz w:val="24"/>
          <w:szCs w:val="24"/>
        </w:rPr>
        <w:t>（</w:t>
      </w:r>
      <w:hyperlink r:id="rId22" w:history="1">
        <w:r w:rsidR="00F355DD" w:rsidRPr="00F355DD">
          <w:rPr>
            <w:rStyle w:val="a6"/>
            <w:rFonts w:ascii="宋体" w:eastAsia="宋体" w:hAnsi="宋体"/>
            <w:bCs/>
            <w:sz w:val="24"/>
            <w:szCs w:val="24"/>
          </w:rPr>
          <w:t>国家税务总局公告2011年第22号</w:t>
        </w:r>
      </w:hyperlink>
      <w:r w:rsidRPr="006A20C9">
        <w:rPr>
          <w:rFonts w:ascii="宋体" w:eastAsia="宋体" w:hAnsi="宋体" w:hint="eastAsia"/>
          <w:bCs/>
          <w:color w:val="000000" w:themeColor="text1"/>
          <w:sz w:val="24"/>
          <w:szCs w:val="24"/>
        </w:rPr>
        <w:t>第十二条第一款）</w:t>
      </w:r>
    </w:p>
    <w:p w14:paraId="6A91AEC0" w14:textId="77777777" w:rsidR="006A20C9" w:rsidRPr="006A20C9" w:rsidRDefault="006A20C9" w:rsidP="006A20C9">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6A20C9">
        <w:rPr>
          <w:rFonts w:ascii="宋体" w:eastAsia="宋体" w:hAnsi="宋体" w:cs="宋体" w:hint="eastAsia"/>
          <w:color w:val="000000" w:themeColor="text1"/>
          <w:kern w:val="0"/>
          <w:sz w:val="24"/>
          <w:szCs w:val="24"/>
        </w:rPr>
        <w:t>本月计提比例＝本月油（气）田实际产量÷［本月油（气）田实际产量＋期末探明已开发储量］</w:t>
      </w:r>
    </w:p>
    <w:p w14:paraId="71E9E2A0" w14:textId="39304AB6" w:rsidR="006A20C9" w:rsidRPr="006A20C9" w:rsidRDefault="006A20C9" w:rsidP="006A20C9">
      <w:pPr>
        <w:widowControl/>
        <w:spacing w:beforeLines="50" w:before="156" w:line="480" w:lineRule="atLeast"/>
        <w:ind w:firstLineChars="200" w:firstLine="480"/>
        <w:jc w:val="right"/>
        <w:rPr>
          <w:rFonts w:ascii="宋体" w:eastAsia="宋体" w:hAnsi="宋体"/>
          <w:bCs/>
          <w:color w:val="000000" w:themeColor="text1"/>
          <w:sz w:val="24"/>
          <w:szCs w:val="24"/>
        </w:rPr>
      </w:pPr>
      <w:r w:rsidRPr="006A20C9">
        <w:rPr>
          <w:rFonts w:ascii="宋体" w:eastAsia="宋体" w:hAnsi="宋体" w:hint="eastAsia"/>
          <w:bCs/>
          <w:color w:val="000000" w:themeColor="text1"/>
          <w:sz w:val="24"/>
          <w:szCs w:val="24"/>
        </w:rPr>
        <w:t>（</w:t>
      </w:r>
      <w:hyperlink r:id="rId23" w:history="1">
        <w:r w:rsidR="00F355DD" w:rsidRPr="00F355DD">
          <w:rPr>
            <w:rStyle w:val="a6"/>
            <w:rFonts w:ascii="宋体" w:eastAsia="宋体" w:hAnsi="宋体"/>
            <w:bCs/>
            <w:sz w:val="24"/>
            <w:szCs w:val="24"/>
          </w:rPr>
          <w:t>国家税务总局公告2011年第22号</w:t>
        </w:r>
      </w:hyperlink>
      <w:r w:rsidRPr="006A20C9">
        <w:rPr>
          <w:rFonts w:ascii="宋体" w:eastAsia="宋体" w:hAnsi="宋体" w:hint="eastAsia"/>
          <w:bCs/>
          <w:color w:val="000000" w:themeColor="text1"/>
          <w:sz w:val="24"/>
          <w:szCs w:val="24"/>
        </w:rPr>
        <w:t>第十二条第二款）</w:t>
      </w:r>
    </w:p>
    <w:p w14:paraId="34A7FD07" w14:textId="77777777" w:rsidR="006A20C9" w:rsidRPr="006A20C9" w:rsidRDefault="006A20C9" w:rsidP="006A20C9">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6A20C9">
        <w:rPr>
          <w:rFonts w:ascii="宋体" w:eastAsia="宋体" w:hAnsi="宋体" w:cs="宋体" w:hint="eastAsia"/>
          <w:color w:val="000000" w:themeColor="text1"/>
          <w:kern w:val="0"/>
          <w:sz w:val="24"/>
          <w:szCs w:val="24"/>
        </w:rPr>
        <w:t>期末探明已开发储量是指，已探明的开发储量，在现有设施条件下对应的可开采储量。</w:t>
      </w:r>
    </w:p>
    <w:p w14:paraId="2BA2B469" w14:textId="7DB93652" w:rsidR="006A20C9" w:rsidRPr="006A20C9" w:rsidRDefault="006A20C9" w:rsidP="006A20C9">
      <w:pPr>
        <w:widowControl/>
        <w:spacing w:beforeLines="50" w:before="156" w:line="480" w:lineRule="atLeast"/>
        <w:ind w:firstLineChars="200" w:firstLine="480"/>
        <w:jc w:val="right"/>
        <w:rPr>
          <w:rFonts w:ascii="宋体" w:eastAsia="宋体" w:hAnsi="宋体"/>
          <w:bCs/>
          <w:color w:val="000000" w:themeColor="text1"/>
          <w:sz w:val="24"/>
          <w:szCs w:val="24"/>
        </w:rPr>
      </w:pPr>
      <w:r w:rsidRPr="006A20C9">
        <w:rPr>
          <w:rFonts w:ascii="宋体" w:eastAsia="宋体" w:hAnsi="宋体" w:hint="eastAsia"/>
          <w:bCs/>
          <w:color w:val="000000" w:themeColor="text1"/>
          <w:sz w:val="24"/>
          <w:szCs w:val="24"/>
        </w:rPr>
        <w:lastRenderedPageBreak/>
        <w:t>（</w:t>
      </w:r>
      <w:hyperlink r:id="rId24" w:history="1">
        <w:r w:rsidR="00F355DD" w:rsidRPr="00F355DD">
          <w:rPr>
            <w:rStyle w:val="a6"/>
            <w:rFonts w:ascii="宋体" w:eastAsia="宋体" w:hAnsi="宋体"/>
            <w:bCs/>
            <w:sz w:val="24"/>
            <w:szCs w:val="24"/>
          </w:rPr>
          <w:t>国家税务总局公告2011年第22号</w:t>
        </w:r>
      </w:hyperlink>
      <w:r w:rsidRPr="006A20C9">
        <w:rPr>
          <w:rFonts w:ascii="宋体" w:eastAsia="宋体" w:hAnsi="宋体" w:hint="eastAsia"/>
          <w:bCs/>
          <w:color w:val="000000" w:themeColor="text1"/>
          <w:sz w:val="24"/>
          <w:szCs w:val="24"/>
        </w:rPr>
        <w:t>第十二条第三款）</w:t>
      </w:r>
    </w:p>
    <w:p w14:paraId="5CDDD22E" w14:textId="3BAA615B" w:rsidR="006A20C9" w:rsidRPr="006A20C9" w:rsidRDefault="006A20C9" w:rsidP="006A20C9">
      <w:pPr>
        <w:pStyle w:val="3"/>
        <w:spacing w:before="50" w:after="0" w:line="480" w:lineRule="atLeast"/>
        <w:rPr>
          <w:rFonts w:ascii="宋体" w:eastAsia="宋体" w:hAnsi="宋体"/>
          <w:sz w:val="24"/>
          <w:szCs w:val="24"/>
        </w:rPr>
      </w:pPr>
      <w:r w:rsidRPr="006A20C9">
        <w:rPr>
          <w:rFonts w:ascii="宋体" w:eastAsia="宋体" w:hAnsi="宋体" w:hint="eastAsia"/>
          <w:sz w:val="24"/>
          <w:szCs w:val="24"/>
        </w:rPr>
        <w:t>2、计提开始日</w:t>
      </w:r>
    </w:p>
    <w:p w14:paraId="44D50F85" w14:textId="77777777" w:rsidR="006A20C9" w:rsidRPr="006A20C9" w:rsidRDefault="006A20C9" w:rsidP="006A20C9">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6A20C9">
        <w:rPr>
          <w:rFonts w:ascii="宋体" w:eastAsia="宋体" w:hAnsi="宋体" w:cs="宋体" w:hint="eastAsia"/>
          <w:color w:val="000000" w:themeColor="text1"/>
          <w:kern w:val="0"/>
          <w:sz w:val="24"/>
          <w:szCs w:val="24"/>
        </w:rPr>
        <w:t>本办法实施后进入商业生产的海上油（气）田，弃置费自进入商业生产的次月起开始计提。</w:t>
      </w:r>
    </w:p>
    <w:p w14:paraId="3CC12EDE" w14:textId="7378D64F" w:rsidR="006A20C9" w:rsidRPr="006A20C9" w:rsidRDefault="006A20C9" w:rsidP="006A20C9">
      <w:pPr>
        <w:widowControl/>
        <w:spacing w:beforeLines="50" w:before="156" w:line="480" w:lineRule="atLeast"/>
        <w:ind w:firstLineChars="200" w:firstLine="480"/>
        <w:jc w:val="right"/>
        <w:rPr>
          <w:rFonts w:ascii="宋体" w:eastAsia="宋体" w:hAnsi="宋体"/>
          <w:bCs/>
          <w:color w:val="000000" w:themeColor="text1"/>
          <w:sz w:val="24"/>
          <w:szCs w:val="24"/>
        </w:rPr>
      </w:pPr>
      <w:r w:rsidRPr="006A20C9">
        <w:rPr>
          <w:rFonts w:ascii="宋体" w:eastAsia="宋体" w:hAnsi="宋体" w:hint="eastAsia"/>
          <w:bCs/>
          <w:color w:val="000000" w:themeColor="text1"/>
          <w:sz w:val="24"/>
          <w:szCs w:val="24"/>
        </w:rPr>
        <w:t>（</w:t>
      </w:r>
      <w:hyperlink r:id="rId25" w:history="1">
        <w:r w:rsidR="00F355DD" w:rsidRPr="00F355DD">
          <w:rPr>
            <w:rStyle w:val="a6"/>
            <w:rFonts w:ascii="宋体" w:eastAsia="宋体" w:hAnsi="宋体"/>
            <w:bCs/>
            <w:sz w:val="24"/>
            <w:szCs w:val="24"/>
          </w:rPr>
          <w:t>国家税务总局公告2011年第22号</w:t>
        </w:r>
      </w:hyperlink>
      <w:r w:rsidRPr="006A20C9">
        <w:rPr>
          <w:rFonts w:ascii="宋体" w:eastAsia="宋体" w:hAnsi="宋体" w:hint="eastAsia"/>
          <w:bCs/>
          <w:color w:val="000000" w:themeColor="text1"/>
          <w:sz w:val="24"/>
          <w:szCs w:val="24"/>
        </w:rPr>
        <w:t>第十条第一款）</w:t>
      </w:r>
    </w:p>
    <w:p w14:paraId="5A2FD469" w14:textId="77777777" w:rsidR="006A20C9" w:rsidRPr="006A20C9" w:rsidRDefault="006A20C9" w:rsidP="006A20C9">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6A20C9">
        <w:rPr>
          <w:rFonts w:ascii="宋体" w:eastAsia="宋体" w:hAnsi="宋体" w:cs="宋体" w:hint="eastAsia"/>
          <w:color w:val="000000" w:themeColor="text1"/>
          <w:kern w:val="0"/>
          <w:sz w:val="24"/>
          <w:szCs w:val="24"/>
        </w:rPr>
        <w:t>本办法实施前已进入商业生产的海上油（气）田，弃置费自作业者补充编制的设施废弃处置预备方案报主管税务机关备案后的次月起开始计提。</w:t>
      </w:r>
    </w:p>
    <w:p w14:paraId="77F4B135" w14:textId="1DA0DFA7" w:rsidR="006A20C9" w:rsidRPr="006A20C9" w:rsidRDefault="006A20C9" w:rsidP="006A20C9">
      <w:pPr>
        <w:widowControl/>
        <w:spacing w:beforeLines="50" w:before="156" w:line="480" w:lineRule="atLeast"/>
        <w:ind w:firstLineChars="200" w:firstLine="480"/>
        <w:jc w:val="right"/>
        <w:rPr>
          <w:rFonts w:ascii="宋体" w:eastAsia="宋体" w:hAnsi="宋体"/>
          <w:bCs/>
          <w:color w:val="000000" w:themeColor="text1"/>
          <w:sz w:val="24"/>
          <w:szCs w:val="24"/>
        </w:rPr>
      </w:pPr>
      <w:r w:rsidRPr="006A20C9">
        <w:rPr>
          <w:rFonts w:ascii="宋体" w:eastAsia="宋体" w:hAnsi="宋体" w:hint="eastAsia"/>
          <w:bCs/>
          <w:color w:val="000000" w:themeColor="text1"/>
          <w:sz w:val="24"/>
          <w:szCs w:val="24"/>
        </w:rPr>
        <w:t>（</w:t>
      </w:r>
      <w:hyperlink r:id="rId26" w:history="1">
        <w:r w:rsidR="00F355DD" w:rsidRPr="00F355DD">
          <w:rPr>
            <w:rStyle w:val="a6"/>
            <w:rFonts w:ascii="宋体" w:eastAsia="宋体" w:hAnsi="宋体"/>
            <w:bCs/>
            <w:sz w:val="24"/>
            <w:szCs w:val="24"/>
          </w:rPr>
          <w:t>国家税务总局公告2011年第22号</w:t>
        </w:r>
      </w:hyperlink>
      <w:r w:rsidRPr="006A20C9">
        <w:rPr>
          <w:rFonts w:ascii="宋体" w:eastAsia="宋体" w:hAnsi="宋体" w:hint="eastAsia"/>
          <w:bCs/>
          <w:color w:val="000000" w:themeColor="text1"/>
          <w:sz w:val="24"/>
          <w:szCs w:val="24"/>
        </w:rPr>
        <w:t>第十条第二款）</w:t>
      </w:r>
    </w:p>
    <w:p w14:paraId="013F4222" w14:textId="77777777" w:rsidR="006A20C9" w:rsidRPr="006A20C9" w:rsidRDefault="006A20C9" w:rsidP="006A20C9">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6A20C9">
        <w:rPr>
          <w:rFonts w:ascii="宋体" w:eastAsia="宋体" w:hAnsi="宋体" w:cs="宋体" w:hint="eastAsia"/>
          <w:color w:val="000000" w:themeColor="text1"/>
          <w:kern w:val="0"/>
          <w:sz w:val="24"/>
          <w:szCs w:val="24"/>
        </w:rPr>
        <w:t>作业者修改废弃处置预备方案的，修改后弃置费在废弃处置预备方案重新报主管税务机关备案的次月起开始计提。</w:t>
      </w:r>
    </w:p>
    <w:p w14:paraId="72D8B9D6" w14:textId="62B075E0" w:rsidR="006A20C9" w:rsidRPr="006A20C9" w:rsidRDefault="006A20C9" w:rsidP="006A20C9">
      <w:pPr>
        <w:widowControl/>
        <w:spacing w:beforeLines="50" w:before="156" w:line="480" w:lineRule="atLeast"/>
        <w:ind w:firstLineChars="200" w:firstLine="480"/>
        <w:jc w:val="right"/>
        <w:rPr>
          <w:rFonts w:ascii="宋体" w:eastAsia="宋体" w:hAnsi="宋体"/>
          <w:bCs/>
          <w:color w:val="000000" w:themeColor="text1"/>
          <w:sz w:val="24"/>
          <w:szCs w:val="24"/>
        </w:rPr>
      </w:pPr>
      <w:r w:rsidRPr="006A20C9">
        <w:rPr>
          <w:rFonts w:ascii="宋体" w:eastAsia="宋体" w:hAnsi="宋体" w:hint="eastAsia"/>
          <w:bCs/>
          <w:color w:val="000000" w:themeColor="text1"/>
          <w:sz w:val="24"/>
          <w:szCs w:val="24"/>
        </w:rPr>
        <w:t>（</w:t>
      </w:r>
      <w:hyperlink r:id="rId27" w:history="1">
        <w:r w:rsidR="00F355DD" w:rsidRPr="00F355DD">
          <w:rPr>
            <w:rStyle w:val="a6"/>
            <w:rFonts w:ascii="宋体" w:eastAsia="宋体" w:hAnsi="宋体"/>
            <w:bCs/>
            <w:sz w:val="24"/>
            <w:szCs w:val="24"/>
          </w:rPr>
          <w:t>国家税务总局公告2011年第22号</w:t>
        </w:r>
      </w:hyperlink>
      <w:r w:rsidRPr="006A20C9">
        <w:rPr>
          <w:rFonts w:ascii="宋体" w:eastAsia="宋体" w:hAnsi="宋体" w:hint="eastAsia"/>
          <w:bCs/>
          <w:color w:val="000000" w:themeColor="text1"/>
          <w:sz w:val="24"/>
          <w:szCs w:val="24"/>
        </w:rPr>
        <w:t>第十条第三款）</w:t>
      </w:r>
    </w:p>
    <w:p w14:paraId="7F5E3C61" w14:textId="3231B48D" w:rsidR="006A20C9" w:rsidRPr="006A20C9" w:rsidRDefault="006A20C9" w:rsidP="006A20C9">
      <w:pPr>
        <w:pStyle w:val="3"/>
        <w:spacing w:before="50" w:after="0" w:line="480" w:lineRule="atLeast"/>
        <w:rPr>
          <w:rFonts w:ascii="宋体" w:eastAsia="宋体" w:hAnsi="宋体"/>
          <w:sz w:val="24"/>
          <w:szCs w:val="24"/>
        </w:rPr>
      </w:pPr>
      <w:r w:rsidRPr="006A20C9">
        <w:rPr>
          <w:rFonts w:ascii="宋体" w:eastAsia="宋体" w:hAnsi="宋体" w:hint="eastAsia"/>
          <w:sz w:val="24"/>
          <w:szCs w:val="24"/>
        </w:rPr>
        <w:t>3、年度调整与修改</w:t>
      </w:r>
    </w:p>
    <w:p w14:paraId="5D3F415C" w14:textId="674B8446" w:rsidR="006A20C9" w:rsidRPr="006A20C9" w:rsidRDefault="006A20C9" w:rsidP="006A20C9">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6A20C9">
        <w:rPr>
          <w:rFonts w:ascii="宋体" w:eastAsia="宋体" w:hAnsi="宋体" w:cs="宋体" w:hint="eastAsia"/>
          <w:color w:val="000000" w:themeColor="text1"/>
          <w:kern w:val="0"/>
          <w:sz w:val="24"/>
          <w:szCs w:val="24"/>
        </w:rPr>
        <w:t>（1）作业者应在纳税年度结束后，就当年提取的弃置费具体情况进行调整。企业应在年度汇算清缴时，根据作业者的调整情况，确认本年度弃置费列支数额。</w:t>
      </w:r>
    </w:p>
    <w:p w14:paraId="5EBB4475" w14:textId="7055C265" w:rsidR="006A20C9" w:rsidRPr="006A20C9" w:rsidRDefault="006A20C9" w:rsidP="006A20C9">
      <w:pPr>
        <w:widowControl/>
        <w:spacing w:beforeLines="50" w:before="156" w:line="480" w:lineRule="atLeast"/>
        <w:ind w:firstLineChars="200" w:firstLine="480"/>
        <w:jc w:val="right"/>
        <w:rPr>
          <w:rFonts w:ascii="宋体" w:eastAsia="宋体" w:hAnsi="宋体"/>
          <w:bCs/>
          <w:color w:val="000000" w:themeColor="text1"/>
          <w:sz w:val="24"/>
          <w:szCs w:val="24"/>
        </w:rPr>
      </w:pPr>
      <w:r w:rsidRPr="006A20C9">
        <w:rPr>
          <w:rFonts w:ascii="宋体" w:eastAsia="宋体" w:hAnsi="宋体" w:hint="eastAsia"/>
          <w:bCs/>
          <w:color w:val="000000" w:themeColor="text1"/>
          <w:sz w:val="24"/>
          <w:szCs w:val="24"/>
        </w:rPr>
        <w:t>（</w:t>
      </w:r>
      <w:hyperlink r:id="rId28" w:history="1">
        <w:r w:rsidR="00F355DD" w:rsidRPr="00F355DD">
          <w:rPr>
            <w:rStyle w:val="a6"/>
            <w:rFonts w:ascii="宋体" w:eastAsia="宋体" w:hAnsi="宋体"/>
            <w:bCs/>
            <w:sz w:val="24"/>
            <w:szCs w:val="24"/>
          </w:rPr>
          <w:t>国家税务总局公告2011年第22号</w:t>
        </w:r>
      </w:hyperlink>
      <w:r w:rsidRPr="006A20C9">
        <w:rPr>
          <w:rFonts w:ascii="宋体" w:eastAsia="宋体" w:hAnsi="宋体" w:hint="eastAsia"/>
          <w:bCs/>
          <w:color w:val="000000" w:themeColor="text1"/>
          <w:sz w:val="24"/>
          <w:szCs w:val="24"/>
        </w:rPr>
        <w:t>第十三条）</w:t>
      </w:r>
    </w:p>
    <w:p w14:paraId="513E14C5" w14:textId="70D671EB" w:rsidR="006A20C9" w:rsidRPr="006A20C9" w:rsidRDefault="006A20C9" w:rsidP="006A20C9">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6A20C9">
        <w:rPr>
          <w:rFonts w:ascii="宋体" w:eastAsia="宋体" w:hAnsi="宋体" w:cs="宋体" w:hint="eastAsia"/>
          <w:color w:val="000000" w:themeColor="text1"/>
          <w:kern w:val="0"/>
          <w:sz w:val="24"/>
          <w:szCs w:val="24"/>
        </w:rPr>
        <w:t>（2）修改设施废弃处置预备方案，导致弃置费提取数额、方法发生变化的，应自方案修改后的下个月开始，就新方案中的弃置费总额，减去累计已计提弃置费后的余额，按照新方案确定的方法继续计提。</w:t>
      </w:r>
    </w:p>
    <w:p w14:paraId="55AFA25B" w14:textId="772C6713" w:rsidR="006A20C9" w:rsidRPr="006A20C9" w:rsidRDefault="006A20C9" w:rsidP="006A20C9">
      <w:pPr>
        <w:widowControl/>
        <w:spacing w:beforeLines="50" w:before="156" w:line="480" w:lineRule="atLeast"/>
        <w:ind w:firstLineChars="200" w:firstLine="480"/>
        <w:jc w:val="right"/>
        <w:rPr>
          <w:rFonts w:ascii="宋体" w:eastAsia="宋体" w:hAnsi="宋体"/>
          <w:bCs/>
          <w:color w:val="000000" w:themeColor="text1"/>
          <w:sz w:val="24"/>
          <w:szCs w:val="24"/>
        </w:rPr>
      </w:pPr>
      <w:r w:rsidRPr="006A20C9">
        <w:rPr>
          <w:rFonts w:ascii="宋体" w:eastAsia="宋体" w:hAnsi="宋体" w:hint="eastAsia"/>
          <w:bCs/>
          <w:color w:val="000000" w:themeColor="text1"/>
          <w:sz w:val="24"/>
          <w:szCs w:val="24"/>
        </w:rPr>
        <w:t>（</w:t>
      </w:r>
      <w:hyperlink r:id="rId29" w:history="1">
        <w:r w:rsidR="00F355DD" w:rsidRPr="00F355DD">
          <w:rPr>
            <w:rStyle w:val="a6"/>
            <w:rFonts w:ascii="宋体" w:eastAsia="宋体" w:hAnsi="宋体"/>
            <w:bCs/>
            <w:sz w:val="24"/>
            <w:szCs w:val="24"/>
          </w:rPr>
          <w:t>国家税务总局公告2011年第22号</w:t>
        </w:r>
      </w:hyperlink>
      <w:r w:rsidRPr="006A20C9">
        <w:rPr>
          <w:rFonts w:ascii="宋体" w:eastAsia="宋体" w:hAnsi="宋体" w:hint="eastAsia"/>
          <w:bCs/>
          <w:color w:val="000000" w:themeColor="text1"/>
          <w:sz w:val="24"/>
          <w:szCs w:val="24"/>
        </w:rPr>
        <w:t>第十四条）</w:t>
      </w:r>
    </w:p>
    <w:p w14:paraId="4DF46043" w14:textId="3C2A936B" w:rsidR="006A20C9" w:rsidRPr="006A20C9" w:rsidRDefault="006A20C9" w:rsidP="006A20C9">
      <w:pPr>
        <w:pStyle w:val="3"/>
        <w:spacing w:before="50" w:after="0" w:line="480" w:lineRule="atLeast"/>
        <w:rPr>
          <w:rFonts w:ascii="宋体" w:eastAsia="宋体" w:hAnsi="宋体"/>
          <w:sz w:val="24"/>
          <w:szCs w:val="24"/>
        </w:rPr>
      </w:pPr>
      <w:r w:rsidRPr="006A20C9">
        <w:rPr>
          <w:rFonts w:ascii="宋体" w:eastAsia="宋体" w:hAnsi="宋体" w:hint="eastAsia"/>
          <w:sz w:val="24"/>
          <w:szCs w:val="24"/>
        </w:rPr>
        <w:t>4、税前扣除与调整</w:t>
      </w:r>
    </w:p>
    <w:p w14:paraId="331DD710" w14:textId="0C997FE0" w:rsidR="006A20C9" w:rsidRPr="006A20C9" w:rsidRDefault="006A20C9" w:rsidP="006A20C9">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6A20C9">
        <w:rPr>
          <w:rFonts w:ascii="宋体" w:eastAsia="宋体" w:hAnsi="宋体" w:cs="宋体" w:hint="eastAsia"/>
          <w:color w:val="000000" w:themeColor="text1"/>
          <w:kern w:val="0"/>
          <w:sz w:val="24"/>
          <w:szCs w:val="24"/>
        </w:rPr>
        <w:t>（1）油（气）田企业或合作各方企业应承担或者按投资比例承担设施废弃处置的责任和义务，其按本办法计提的弃置费，应依照规定</w:t>
      </w:r>
      <w:r w:rsidRPr="006A20C9">
        <w:rPr>
          <w:rFonts w:ascii="宋体" w:eastAsia="宋体" w:hAnsi="宋体" w:cs="宋体" w:hint="eastAsia"/>
          <w:b/>
          <w:color w:val="000000" w:themeColor="text1"/>
          <w:kern w:val="0"/>
          <w:sz w:val="24"/>
          <w:szCs w:val="24"/>
        </w:rPr>
        <w:t>作为环境保护、生态恢复等方面专项资金</w:t>
      </w:r>
      <w:r w:rsidRPr="006A20C9">
        <w:rPr>
          <w:rFonts w:ascii="宋体" w:eastAsia="宋体" w:hAnsi="宋体" w:cs="宋体" w:hint="eastAsia"/>
          <w:color w:val="000000" w:themeColor="text1"/>
          <w:kern w:val="0"/>
          <w:sz w:val="24"/>
          <w:szCs w:val="24"/>
        </w:rPr>
        <w:t>，并准予在计算企业年度应纳税所得额时扣除。</w:t>
      </w:r>
    </w:p>
    <w:p w14:paraId="1AD049CC" w14:textId="6763FF21" w:rsidR="006A20C9" w:rsidRPr="006A20C9" w:rsidRDefault="006A20C9" w:rsidP="006A20C9">
      <w:pPr>
        <w:widowControl/>
        <w:spacing w:beforeLines="50" w:before="156" w:line="480" w:lineRule="atLeast"/>
        <w:ind w:firstLineChars="200" w:firstLine="480"/>
        <w:jc w:val="right"/>
        <w:rPr>
          <w:rFonts w:ascii="宋体" w:eastAsia="宋体" w:hAnsi="宋体"/>
          <w:bCs/>
          <w:color w:val="000000" w:themeColor="text1"/>
          <w:sz w:val="24"/>
          <w:szCs w:val="24"/>
        </w:rPr>
      </w:pPr>
      <w:r w:rsidRPr="006A20C9">
        <w:rPr>
          <w:rFonts w:ascii="宋体" w:eastAsia="宋体" w:hAnsi="宋体" w:hint="eastAsia"/>
          <w:bCs/>
          <w:color w:val="000000" w:themeColor="text1"/>
          <w:sz w:val="24"/>
          <w:szCs w:val="24"/>
        </w:rPr>
        <w:t>（</w:t>
      </w:r>
      <w:hyperlink r:id="rId30" w:history="1">
        <w:r w:rsidR="00F355DD" w:rsidRPr="00F355DD">
          <w:rPr>
            <w:rStyle w:val="a6"/>
            <w:rFonts w:ascii="宋体" w:eastAsia="宋体" w:hAnsi="宋体"/>
            <w:bCs/>
            <w:sz w:val="24"/>
            <w:szCs w:val="24"/>
          </w:rPr>
          <w:t>国家税务总局公告2011年第22号</w:t>
        </w:r>
      </w:hyperlink>
      <w:r w:rsidRPr="006A20C9">
        <w:rPr>
          <w:rFonts w:ascii="宋体" w:eastAsia="宋体" w:hAnsi="宋体" w:hint="eastAsia"/>
          <w:bCs/>
          <w:color w:val="000000" w:themeColor="text1"/>
          <w:sz w:val="24"/>
          <w:szCs w:val="24"/>
        </w:rPr>
        <w:t>第十五条）</w:t>
      </w:r>
    </w:p>
    <w:p w14:paraId="43ABC770" w14:textId="0582B8D9" w:rsidR="006A20C9" w:rsidRPr="006A20C9" w:rsidRDefault="006A20C9" w:rsidP="006A20C9">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6A20C9">
        <w:rPr>
          <w:rFonts w:ascii="宋体" w:eastAsia="宋体" w:hAnsi="宋体" w:cs="宋体" w:hint="eastAsia"/>
          <w:color w:val="000000" w:themeColor="text1"/>
          <w:kern w:val="0"/>
          <w:sz w:val="24"/>
          <w:szCs w:val="24"/>
        </w:rPr>
        <w:lastRenderedPageBreak/>
        <w:t>（</w:t>
      </w:r>
      <w:r w:rsidRPr="006A20C9">
        <w:rPr>
          <w:rFonts w:ascii="宋体" w:eastAsia="宋体" w:hAnsi="宋体" w:cs="宋体"/>
          <w:color w:val="000000" w:themeColor="text1"/>
          <w:kern w:val="0"/>
          <w:sz w:val="24"/>
          <w:szCs w:val="24"/>
        </w:rPr>
        <w:t>2</w:t>
      </w:r>
      <w:r w:rsidRPr="006A20C9">
        <w:rPr>
          <w:rFonts w:ascii="宋体" w:eastAsia="宋体" w:hAnsi="宋体" w:cs="宋体" w:hint="eastAsia"/>
          <w:color w:val="000000" w:themeColor="text1"/>
          <w:kern w:val="0"/>
          <w:sz w:val="24"/>
          <w:szCs w:val="24"/>
        </w:rPr>
        <w:t>）企业依本办法计提的弃置费，凡改变用途的，不得在企业所得税前扣除。已经扣除的，应调增改变用途当年的应纳税所得额，并按《中华人民共和国税收征收管理法》的有关规定处理。</w:t>
      </w:r>
    </w:p>
    <w:p w14:paraId="300EF399" w14:textId="5C486A9A" w:rsidR="006A20C9" w:rsidRPr="006A20C9" w:rsidRDefault="006A20C9" w:rsidP="006A20C9">
      <w:pPr>
        <w:widowControl/>
        <w:shd w:val="clear" w:color="auto" w:fill="FFFFFF"/>
        <w:spacing w:beforeLines="50" w:before="156" w:line="480" w:lineRule="atLeast"/>
        <w:ind w:firstLineChars="200" w:firstLine="480"/>
        <w:jc w:val="right"/>
        <w:rPr>
          <w:rFonts w:ascii="宋体" w:eastAsia="宋体" w:hAnsi="宋体" w:cs="宋体"/>
          <w:color w:val="000000" w:themeColor="text1"/>
          <w:kern w:val="0"/>
          <w:sz w:val="24"/>
          <w:szCs w:val="24"/>
        </w:rPr>
      </w:pPr>
      <w:r w:rsidRPr="006A20C9">
        <w:rPr>
          <w:rFonts w:ascii="宋体" w:eastAsia="宋体" w:hAnsi="宋体" w:cs="宋体" w:hint="eastAsia"/>
          <w:bCs/>
          <w:color w:val="000000" w:themeColor="text1"/>
          <w:kern w:val="0"/>
          <w:sz w:val="24"/>
          <w:szCs w:val="24"/>
        </w:rPr>
        <w:t>（</w:t>
      </w:r>
      <w:hyperlink r:id="rId31" w:history="1">
        <w:r w:rsidR="00F355DD" w:rsidRPr="00F355DD">
          <w:rPr>
            <w:rStyle w:val="a6"/>
            <w:rFonts w:ascii="宋体" w:eastAsia="宋体" w:hAnsi="宋体"/>
            <w:bCs/>
            <w:sz w:val="24"/>
            <w:szCs w:val="24"/>
          </w:rPr>
          <w:t>国家税务总局公告2011年第22号</w:t>
        </w:r>
      </w:hyperlink>
      <w:r w:rsidRPr="006A20C9">
        <w:rPr>
          <w:rFonts w:ascii="宋体" w:eastAsia="宋体" w:hAnsi="宋体" w:cs="宋体" w:hint="eastAsia"/>
          <w:bCs/>
          <w:color w:val="000000" w:themeColor="text1"/>
          <w:kern w:val="0"/>
          <w:sz w:val="24"/>
          <w:szCs w:val="24"/>
        </w:rPr>
        <w:t>第十四条）</w:t>
      </w:r>
    </w:p>
    <w:p w14:paraId="48A3FB3D" w14:textId="5C906C4B" w:rsidR="006A20C9" w:rsidRPr="006A20C9" w:rsidRDefault="006A20C9" w:rsidP="006A20C9">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6A20C9">
        <w:rPr>
          <w:rFonts w:ascii="宋体" w:eastAsia="宋体" w:hAnsi="宋体" w:cs="宋体" w:hint="eastAsia"/>
          <w:color w:val="000000" w:themeColor="text1"/>
          <w:kern w:val="0"/>
          <w:sz w:val="24"/>
          <w:szCs w:val="24"/>
        </w:rPr>
        <w:t>（3）合作油（气）田的合同生产期尚未结束，一方企业决定放弃生产，将油（气）田所有权全部转移给另一方企业、或者合作油（气）田的合同生产期结束，一方企业决定继续生产，若放弃方或退出方企业取得已经计提的弃置费补偿，应作为收入计入企业当年度应纳税所得计算纳税。支付方企业可以作为弃置费，在支付年度一次性扣除。</w:t>
      </w:r>
    </w:p>
    <w:p w14:paraId="55EA3803" w14:textId="7221C8E4" w:rsidR="006A20C9" w:rsidRPr="006A20C9" w:rsidRDefault="006A20C9" w:rsidP="006A20C9">
      <w:pPr>
        <w:widowControl/>
        <w:spacing w:beforeLines="50" w:before="156" w:line="480" w:lineRule="atLeast"/>
        <w:ind w:firstLineChars="200" w:firstLine="480"/>
        <w:jc w:val="right"/>
        <w:rPr>
          <w:rFonts w:ascii="宋体" w:eastAsia="宋体" w:hAnsi="宋体"/>
          <w:bCs/>
          <w:color w:val="000000" w:themeColor="text1"/>
          <w:sz w:val="24"/>
          <w:szCs w:val="24"/>
        </w:rPr>
      </w:pPr>
      <w:r w:rsidRPr="006A20C9">
        <w:rPr>
          <w:rFonts w:ascii="宋体" w:eastAsia="宋体" w:hAnsi="宋体" w:hint="eastAsia"/>
          <w:bCs/>
          <w:color w:val="000000" w:themeColor="text1"/>
          <w:sz w:val="24"/>
          <w:szCs w:val="24"/>
        </w:rPr>
        <w:t>（</w:t>
      </w:r>
      <w:hyperlink r:id="rId32" w:history="1">
        <w:r w:rsidR="00F355DD" w:rsidRPr="00F355DD">
          <w:rPr>
            <w:rStyle w:val="a6"/>
            <w:rFonts w:ascii="宋体" w:eastAsia="宋体" w:hAnsi="宋体"/>
            <w:bCs/>
            <w:sz w:val="24"/>
            <w:szCs w:val="24"/>
          </w:rPr>
          <w:t>国家税务总局公告2011年第22号</w:t>
        </w:r>
      </w:hyperlink>
      <w:r w:rsidRPr="006A20C9">
        <w:rPr>
          <w:rFonts w:ascii="宋体" w:eastAsia="宋体" w:hAnsi="宋体" w:hint="eastAsia"/>
          <w:bCs/>
          <w:color w:val="000000" w:themeColor="text1"/>
          <w:sz w:val="24"/>
          <w:szCs w:val="24"/>
        </w:rPr>
        <w:t>第十六条）</w:t>
      </w:r>
    </w:p>
    <w:p w14:paraId="1573B7AA" w14:textId="526AC151" w:rsidR="006A20C9" w:rsidRPr="006A20C9" w:rsidRDefault="006A20C9" w:rsidP="006A20C9">
      <w:pPr>
        <w:pStyle w:val="2"/>
        <w:spacing w:before="50" w:after="0" w:line="480" w:lineRule="atLeast"/>
        <w:rPr>
          <w:rFonts w:ascii="宋体" w:eastAsia="宋体" w:hAnsi="宋体"/>
          <w:sz w:val="24"/>
          <w:szCs w:val="24"/>
        </w:rPr>
      </w:pPr>
      <w:r w:rsidRPr="006A20C9">
        <w:rPr>
          <w:rFonts w:ascii="宋体" w:eastAsia="宋体" w:hAnsi="宋体" w:hint="eastAsia"/>
          <w:sz w:val="24"/>
          <w:szCs w:val="24"/>
        </w:rPr>
        <w:t>（四）弃置费的使用</w:t>
      </w:r>
    </w:p>
    <w:p w14:paraId="1359AFCE" w14:textId="1E2071F2" w:rsidR="006A20C9" w:rsidRPr="006A20C9" w:rsidRDefault="006A20C9" w:rsidP="006A20C9">
      <w:pPr>
        <w:widowControl/>
        <w:spacing w:beforeLines="50" w:before="156" w:line="480" w:lineRule="atLeast"/>
        <w:ind w:firstLineChars="200" w:firstLine="482"/>
        <w:jc w:val="left"/>
        <w:rPr>
          <w:rFonts w:ascii="宋体" w:eastAsia="宋体" w:hAnsi="宋体" w:cs="宋体"/>
          <w:color w:val="000000" w:themeColor="text1"/>
          <w:kern w:val="0"/>
          <w:sz w:val="24"/>
          <w:szCs w:val="24"/>
        </w:rPr>
      </w:pPr>
      <w:r w:rsidRPr="006A20C9">
        <w:rPr>
          <w:rFonts w:ascii="宋体" w:eastAsia="宋体" w:hAnsi="宋体" w:cs="宋体" w:hint="eastAsia"/>
          <w:b/>
          <w:color w:val="000000" w:themeColor="text1"/>
          <w:kern w:val="0"/>
          <w:sz w:val="24"/>
          <w:szCs w:val="24"/>
        </w:rPr>
        <w:t>1、</w:t>
      </w:r>
      <w:r w:rsidRPr="006A20C9">
        <w:rPr>
          <w:rFonts w:ascii="宋体" w:eastAsia="宋体" w:hAnsi="宋体" w:cs="宋体" w:hint="eastAsia"/>
          <w:color w:val="000000" w:themeColor="text1"/>
          <w:kern w:val="0"/>
          <w:sz w:val="24"/>
          <w:szCs w:val="24"/>
        </w:rPr>
        <w:t>作业者实施海上油（气）田设施废弃处置时发生的弃置费，应单独归集核算，并从按照本办法规定提取的弃置费中扣除。</w:t>
      </w:r>
    </w:p>
    <w:p w14:paraId="72BA2A67" w14:textId="22E75270" w:rsidR="006A20C9" w:rsidRPr="006A20C9" w:rsidRDefault="006A20C9" w:rsidP="006A20C9">
      <w:pPr>
        <w:widowControl/>
        <w:spacing w:beforeLines="50" w:before="156" w:line="480" w:lineRule="atLeast"/>
        <w:ind w:firstLineChars="200" w:firstLine="480"/>
        <w:jc w:val="right"/>
        <w:rPr>
          <w:rFonts w:ascii="宋体" w:eastAsia="宋体" w:hAnsi="宋体"/>
          <w:bCs/>
          <w:color w:val="000000" w:themeColor="text1"/>
          <w:sz w:val="24"/>
          <w:szCs w:val="24"/>
        </w:rPr>
      </w:pPr>
      <w:r w:rsidRPr="006A20C9">
        <w:rPr>
          <w:rFonts w:ascii="宋体" w:eastAsia="宋体" w:hAnsi="宋体" w:hint="eastAsia"/>
          <w:bCs/>
          <w:color w:val="000000" w:themeColor="text1"/>
          <w:sz w:val="24"/>
          <w:szCs w:val="24"/>
        </w:rPr>
        <w:t>（</w:t>
      </w:r>
      <w:hyperlink r:id="rId33" w:history="1">
        <w:r w:rsidR="00F355DD" w:rsidRPr="00F355DD">
          <w:rPr>
            <w:rStyle w:val="a6"/>
            <w:rFonts w:ascii="宋体" w:eastAsia="宋体" w:hAnsi="宋体"/>
            <w:bCs/>
            <w:sz w:val="24"/>
            <w:szCs w:val="24"/>
          </w:rPr>
          <w:t>国家税务总局公告2011年第22号</w:t>
        </w:r>
      </w:hyperlink>
      <w:r w:rsidRPr="006A20C9">
        <w:rPr>
          <w:rFonts w:ascii="宋体" w:eastAsia="宋体" w:hAnsi="宋体" w:hint="eastAsia"/>
          <w:bCs/>
          <w:color w:val="000000" w:themeColor="text1"/>
          <w:sz w:val="24"/>
          <w:szCs w:val="24"/>
        </w:rPr>
        <w:t>第十七条）</w:t>
      </w:r>
    </w:p>
    <w:p w14:paraId="6AF9B6F0" w14:textId="65B124DB" w:rsidR="006A20C9" w:rsidRPr="006A20C9" w:rsidRDefault="006A20C9" w:rsidP="006A20C9">
      <w:pPr>
        <w:widowControl/>
        <w:spacing w:beforeLines="50" w:before="156" w:line="480" w:lineRule="atLeast"/>
        <w:ind w:firstLineChars="200" w:firstLine="482"/>
        <w:jc w:val="left"/>
        <w:rPr>
          <w:rFonts w:ascii="宋体" w:eastAsia="宋体" w:hAnsi="宋体" w:cs="宋体"/>
          <w:color w:val="000000" w:themeColor="text1"/>
          <w:kern w:val="0"/>
          <w:sz w:val="24"/>
          <w:szCs w:val="24"/>
        </w:rPr>
      </w:pPr>
      <w:r w:rsidRPr="006A20C9">
        <w:rPr>
          <w:rFonts w:ascii="宋体" w:eastAsia="宋体" w:hAnsi="宋体" w:cs="宋体" w:hint="eastAsia"/>
          <w:b/>
          <w:color w:val="000000" w:themeColor="text1"/>
          <w:kern w:val="0"/>
          <w:sz w:val="24"/>
          <w:szCs w:val="24"/>
        </w:rPr>
        <w:t>2、</w:t>
      </w:r>
      <w:r w:rsidRPr="006A20C9">
        <w:rPr>
          <w:rFonts w:ascii="宋体" w:eastAsia="宋体" w:hAnsi="宋体" w:cs="宋体" w:hint="eastAsia"/>
          <w:color w:val="000000" w:themeColor="text1"/>
          <w:kern w:val="0"/>
          <w:sz w:val="24"/>
          <w:szCs w:val="24"/>
        </w:rPr>
        <w:t>作业者完成海上油（气）田设施废弃处置后，提取的弃置费仍有余额，应相应调增弃置费余额所归属企业当年度的应纳税所得额。</w:t>
      </w:r>
    </w:p>
    <w:p w14:paraId="08EC0968" w14:textId="34A7D06B" w:rsidR="006A20C9" w:rsidRPr="006A20C9" w:rsidRDefault="006A20C9" w:rsidP="006A20C9">
      <w:pPr>
        <w:widowControl/>
        <w:spacing w:beforeLines="50" w:before="156" w:line="480" w:lineRule="atLeast"/>
        <w:ind w:firstLineChars="200" w:firstLine="480"/>
        <w:jc w:val="right"/>
        <w:rPr>
          <w:rFonts w:ascii="宋体" w:eastAsia="宋体" w:hAnsi="宋体"/>
          <w:bCs/>
          <w:color w:val="000000" w:themeColor="text1"/>
          <w:sz w:val="24"/>
          <w:szCs w:val="24"/>
        </w:rPr>
      </w:pPr>
      <w:r w:rsidRPr="006A20C9">
        <w:rPr>
          <w:rFonts w:ascii="宋体" w:eastAsia="宋体" w:hAnsi="宋体" w:hint="eastAsia"/>
          <w:bCs/>
          <w:color w:val="000000" w:themeColor="text1"/>
          <w:sz w:val="24"/>
          <w:szCs w:val="24"/>
        </w:rPr>
        <w:t>（</w:t>
      </w:r>
      <w:hyperlink r:id="rId34" w:history="1">
        <w:r w:rsidR="00F355DD" w:rsidRPr="00F355DD">
          <w:rPr>
            <w:rStyle w:val="a6"/>
            <w:rFonts w:ascii="宋体" w:eastAsia="宋体" w:hAnsi="宋体"/>
            <w:bCs/>
            <w:sz w:val="24"/>
            <w:szCs w:val="24"/>
          </w:rPr>
          <w:t>国家税务总局公告2011年第22号</w:t>
        </w:r>
      </w:hyperlink>
      <w:r w:rsidRPr="006A20C9">
        <w:rPr>
          <w:rFonts w:ascii="宋体" w:eastAsia="宋体" w:hAnsi="宋体" w:hint="eastAsia"/>
          <w:bCs/>
          <w:color w:val="000000" w:themeColor="text1"/>
          <w:sz w:val="24"/>
          <w:szCs w:val="24"/>
        </w:rPr>
        <w:t>第十八条）</w:t>
      </w:r>
    </w:p>
    <w:p w14:paraId="623183C4" w14:textId="67586442" w:rsidR="006A20C9" w:rsidRPr="006A20C9" w:rsidRDefault="006A20C9" w:rsidP="006A20C9">
      <w:pPr>
        <w:widowControl/>
        <w:spacing w:beforeLines="50" w:before="156" w:line="480" w:lineRule="atLeast"/>
        <w:ind w:firstLineChars="200" w:firstLine="482"/>
        <w:jc w:val="left"/>
        <w:rPr>
          <w:rFonts w:ascii="宋体" w:eastAsia="宋体" w:hAnsi="宋体" w:cs="宋体"/>
          <w:color w:val="000000" w:themeColor="text1"/>
          <w:kern w:val="0"/>
          <w:sz w:val="24"/>
          <w:szCs w:val="24"/>
        </w:rPr>
      </w:pPr>
      <w:r w:rsidRPr="006A20C9">
        <w:rPr>
          <w:rFonts w:ascii="宋体" w:eastAsia="宋体" w:hAnsi="宋体" w:cs="宋体" w:hint="eastAsia"/>
          <w:b/>
          <w:color w:val="000000" w:themeColor="text1"/>
          <w:kern w:val="0"/>
          <w:sz w:val="24"/>
          <w:szCs w:val="24"/>
        </w:rPr>
        <w:t>3、</w:t>
      </w:r>
      <w:r w:rsidRPr="006A20C9">
        <w:rPr>
          <w:rFonts w:ascii="宋体" w:eastAsia="宋体" w:hAnsi="宋体" w:cs="宋体" w:hint="eastAsia"/>
          <w:color w:val="000000" w:themeColor="text1"/>
          <w:kern w:val="0"/>
          <w:sz w:val="24"/>
          <w:szCs w:val="24"/>
        </w:rPr>
        <w:t>作业者完成海上油（气）田设施废弃处置后，实际发生的弃置费超过计提的部分，应作为企业当年度费用，在计算企业应纳税所得额时扣除。</w:t>
      </w:r>
    </w:p>
    <w:p w14:paraId="2098DDC2" w14:textId="2A53A3FD" w:rsidR="006A20C9" w:rsidRPr="006A20C9" w:rsidRDefault="006A20C9" w:rsidP="006A20C9">
      <w:pPr>
        <w:widowControl/>
        <w:spacing w:beforeLines="50" w:before="156" w:line="480" w:lineRule="atLeast"/>
        <w:ind w:firstLineChars="200" w:firstLine="480"/>
        <w:jc w:val="right"/>
        <w:rPr>
          <w:rFonts w:ascii="宋体" w:eastAsia="宋体" w:hAnsi="宋体"/>
          <w:bCs/>
          <w:color w:val="000000" w:themeColor="text1"/>
          <w:sz w:val="24"/>
          <w:szCs w:val="24"/>
        </w:rPr>
      </w:pPr>
      <w:r w:rsidRPr="006A20C9">
        <w:rPr>
          <w:rFonts w:ascii="宋体" w:eastAsia="宋体" w:hAnsi="宋体" w:hint="eastAsia"/>
          <w:bCs/>
          <w:color w:val="000000" w:themeColor="text1"/>
          <w:sz w:val="24"/>
          <w:szCs w:val="24"/>
        </w:rPr>
        <w:t>（</w:t>
      </w:r>
      <w:hyperlink r:id="rId35" w:history="1">
        <w:r w:rsidR="00F355DD" w:rsidRPr="00F355DD">
          <w:rPr>
            <w:rStyle w:val="a6"/>
            <w:rFonts w:ascii="宋体" w:eastAsia="宋体" w:hAnsi="宋体"/>
            <w:bCs/>
            <w:sz w:val="24"/>
            <w:szCs w:val="24"/>
          </w:rPr>
          <w:t>国家税务总局公告2011年第22号</w:t>
        </w:r>
      </w:hyperlink>
      <w:r w:rsidRPr="006A20C9">
        <w:rPr>
          <w:rFonts w:ascii="宋体" w:eastAsia="宋体" w:hAnsi="宋体" w:hint="eastAsia"/>
          <w:bCs/>
          <w:color w:val="000000" w:themeColor="text1"/>
          <w:sz w:val="24"/>
          <w:szCs w:val="24"/>
        </w:rPr>
        <w:t>第十九条）</w:t>
      </w:r>
    </w:p>
    <w:p w14:paraId="23801001" w14:textId="35D9E9BC" w:rsidR="006A20C9" w:rsidRPr="006A20C9" w:rsidRDefault="006A20C9" w:rsidP="006A20C9">
      <w:pPr>
        <w:pStyle w:val="2"/>
        <w:spacing w:before="50" w:after="0" w:line="480" w:lineRule="atLeast"/>
        <w:rPr>
          <w:rFonts w:ascii="宋体" w:eastAsia="宋体" w:hAnsi="宋体"/>
          <w:sz w:val="24"/>
          <w:szCs w:val="24"/>
        </w:rPr>
      </w:pPr>
      <w:r w:rsidRPr="006A20C9">
        <w:rPr>
          <w:rFonts w:ascii="宋体" w:eastAsia="宋体" w:hAnsi="宋体" w:hint="eastAsia"/>
          <w:sz w:val="24"/>
          <w:szCs w:val="24"/>
        </w:rPr>
        <w:t>（五）弃置费的管理</w:t>
      </w:r>
    </w:p>
    <w:p w14:paraId="02F2B682" w14:textId="5B976C0A" w:rsidR="006A20C9" w:rsidRPr="006A20C9" w:rsidRDefault="006A20C9" w:rsidP="006A20C9">
      <w:pPr>
        <w:widowControl/>
        <w:spacing w:beforeLines="50" w:before="156" w:line="480" w:lineRule="atLeast"/>
        <w:ind w:firstLineChars="200" w:firstLine="482"/>
        <w:jc w:val="left"/>
        <w:rPr>
          <w:rFonts w:ascii="宋体" w:eastAsia="宋体" w:hAnsi="宋体" w:cs="宋体"/>
          <w:color w:val="000000" w:themeColor="text1"/>
          <w:kern w:val="0"/>
          <w:sz w:val="24"/>
          <w:szCs w:val="24"/>
        </w:rPr>
      </w:pPr>
      <w:r w:rsidRPr="006A20C9">
        <w:rPr>
          <w:rFonts w:ascii="宋体" w:eastAsia="宋体" w:hAnsi="宋体" w:cs="宋体" w:hint="eastAsia"/>
          <w:b/>
          <w:color w:val="000000" w:themeColor="text1"/>
          <w:kern w:val="0"/>
          <w:sz w:val="24"/>
          <w:szCs w:val="24"/>
        </w:rPr>
        <w:t>1、</w:t>
      </w:r>
      <w:r w:rsidRPr="006A20C9">
        <w:rPr>
          <w:rFonts w:ascii="宋体" w:eastAsia="宋体" w:hAnsi="宋体" w:cs="宋体" w:hint="eastAsia"/>
          <w:color w:val="000000" w:themeColor="text1"/>
          <w:kern w:val="0"/>
          <w:sz w:val="24"/>
          <w:szCs w:val="24"/>
        </w:rPr>
        <w:t>弃置费专款账户资金所产生的损益，应计入弃置费，并相应调整当期弃置费提取额。</w:t>
      </w:r>
    </w:p>
    <w:p w14:paraId="345038EC" w14:textId="1C7D55B6" w:rsidR="006A20C9" w:rsidRPr="006A20C9" w:rsidRDefault="006A20C9" w:rsidP="006A20C9">
      <w:pPr>
        <w:widowControl/>
        <w:spacing w:beforeLines="50" w:before="156" w:line="480" w:lineRule="atLeast"/>
        <w:ind w:firstLineChars="200" w:firstLine="480"/>
        <w:jc w:val="right"/>
        <w:rPr>
          <w:rFonts w:ascii="宋体" w:eastAsia="宋体" w:hAnsi="宋体"/>
          <w:bCs/>
          <w:color w:val="000000" w:themeColor="text1"/>
          <w:sz w:val="24"/>
          <w:szCs w:val="24"/>
        </w:rPr>
      </w:pPr>
      <w:r w:rsidRPr="006A20C9">
        <w:rPr>
          <w:rFonts w:ascii="宋体" w:eastAsia="宋体" w:hAnsi="宋体" w:hint="eastAsia"/>
          <w:bCs/>
          <w:color w:val="000000" w:themeColor="text1"/>
          <w:sz w:val="24"/>
          <w:szCs w:val="24"/>
        </w:rPr>
        <w:t>（</w:t>
      </w:r>
      <w:hyperlink r:id="rId36" w:history="1">
        <w:r w:rsidR="00F355DD" w:rsidRPr="00F355DD">
          <w:rPr>
            <w:rStyle w:val="a6"/>
            <w:rFonts w:ascii="宋体" w:eastAsia="宋体" w:hAnsi="宋体"/>
            <w:bCs/>
            <w:sz w:val="24"/>
            <w:szCs w:val="24"/>
          </w:rPr>
          <w:t>国家税务总局公告2011年第22号</w:t>
        </w:r>
      </w:hyperlink>
      <w:r w:rsidRPr="006A20C9">
        <w:rPr>
          <w:rFonts w:ascii="宋体" w:eastAsia="宋体" w:hAnsi="宋体" w:hint="eastAsia"/>
          <w:bCs/>
          <w:color w:val="000000" w:themeColor="text1"/>
          <w:sz w:val="24"/>
          <w:szCs w:val="24"/>
        </w:rPr>
        <w:t>第二十条）</w:t>
      </w:r>
    </w:p>
    <w:p w14:paraId="04A48936" w14:textId="1D7F8E1F" w:rsidR="006A20C9" w:rsidRPr="006A20C9" w:rsidRDefault="006A20C9" w:rsidP="006A20C9">
      <w:pPr>
        <w:widowControl/>
        <w:spacing w:beforeLines="50" w:before="156" w:line="480" w:lineRule="atLeast"/>
        <w:ind w:firstLineChars="200" w:firstLine="482"/>
        <w:jc w:val="left"/>
        <w:rPr>
          <w:rFonts w:ascii="宋体" w:eastAsia="宋体" w:hAnsi="宋体" w:cs="宋体"/>
          <w:color w:val="000000" w:themeColor="text1"/>
          <w:kern w:val="0"/>
          <w:sz w:val="24"/>
          <w:szCs w:val="24"/>
        </w:rPr>
      </w:pPr>
      <w:r w:rsidRPr="006A20C9">
        <w:rPr>
          <w:rFonts w:ascii="宋体" w:eastAsia="宋体" w:hAnsi="宋体" w:cs="宋体" w:hint="eastAsia"/>
          <w:b/>
          <w:color w:val="000000" w:themeColor="text1"/>
          <w:kern w:val="0"/>
          <w:sz w:val="24"/>
          <w:szCs w:val="24"/>
        </w:rPr>
        <w:lastRenderedPageBreak/>
        <w:t>2、</w:t>
      </w:r>
      <w:r w:rsidRPr="006A20C9">
        <w:rPr>
          <w:rFonts w:ascii="宋体" w:eastAsia="宋体" w:hAnsi="宋体" w:cs="宋体" w:hint="eastAsia"/>
          <w:color w:val="000000" w:themeColor="text1"/>
          <w:kern w:val="0"/>
          <w:sz w:val="24"/>
          <w:szCs w:val="24"/>
        </w:rPr>
        <w:t>弃置费的计提、清算应统一使用人民币作为货币单位。发生的汇兑损益，直接增加或减少弃置费。</w:t>
      </w:r>
    </w:p>
    <w:p w14:paraId="37308E12" w14:textId="074444A6" w:rsidR="006A20C9" w:rsidRPr="006A20C9" w:rsidRDefault="006A20C9" w:rsidP="006A20C9">
      <w:pPr>
        <w:widowControl/>
        <w:spacing w:beforeLines="50" w:before="156" w:line="480" w:lineRule="atLeast"/>
        <w:ind w:firstLineChars="200" w:firstLine="480"/>
        <w:jc w:val="right"/>
        <w:rPr>
          <w:rFonts w:ascii="宋体" w:eastAsia="宋体" w:hAnsi="宋体"/>
          <w:bCs/>
          <w:color w:val="000000" w:themeColor="text1"/>
          <w:sz w:val="24"/>
          <w:szCs w:val="24"/>
        </w:rPr>
      </w:pPr>
      <w:r w:rsidRPr="006A20C9">
        <w:rPr>
          <w:rFonts w:ascii="宋体" w:eastAsia="宋体" w:hAnsi="宋体" w:hint="eastAsia"/>
          <w:bCs/>
          <w:color w:val="000000" w:themeColor="text1"/>
          <w:sz w:val="24"/>
          <w:szCs w:val="24"/>
        </w:rPr>
        <w:t>（</w:t>
      </w:r>
      <w:hyperlink r:id="rId37" w:history="1">
        <w:r w:rsidR="00F355DD" w:rsidRPr="00F355DD">
          <w:rPr>
            <w:rStyle w:val="a6"/>
            <w:rFonts w:ascii="宋体" w:eastAsia="宋体" w:hAnsi="宋体"/>
            <w:bCs/>
            <w:sz w:val="24"/>
            <w:szCs w:val="24"/>
          </w:rPr>
          <w:t>国家税务总局公告2011年第22号</w:t>
        </w:r>
      </w:hyperlink>
      <w:r w:rsidRPr="006A20C9">
        <w:rPr>
          <w:rFonts w:ascii="宋体" w:eastAsia="宋体" w:hAnsi="宋体" w:hint="eastAsia"/>
          <w:bCs/>
          <w:color w:val="000000" w:themeColor="text1"/>
          <w:sz w:val="24"/>
          <w:szCs w:val="24"/>
        </w:rPr>
        <w:t>第二十一条）</w:t>
      </w:r>
    </w:p>
    <w:p w14:paraId="5CC71DE2" w14:textId="599F3468" w:rsidR="006A20C9" w:rsidRPr="006A20C9" w:rsidRDefault="006A20C9" w:rsidP="006A20C9">
      <w:pPr>
        <w:widowControl/>
        <w:spacing w:beforeLines="50" w:before="156" w:line="480" w:lineRule="atLeast"/>
        <w:ind w:firstLineChars="200" w:firstLine="482"/>
        <w:jc w:val="left"/>
        <w:rPr>
          <w:rFonts w:ascii="宋体" w:eastAsia="宋体" w:hAnsi="宋体" w:cs="宋体"/>
          <w:color w:val="000000" w:themeColor="text1"/>
          <w:kern w:val="0"/>
          <w:sz w:val="24"/>
          <w:szCs w:val="24"/>
        </w:rPr>
      </w:pPr>
      <w:r w:rsidRPr="006A20C9">
        <w:rPr>
          <w:rFonts w:ascii="宋体" w:eastAsia="宋体" w:hAnsi="宋体" w:cs="宋体" w:hint="eastAsia"/>
          <w:b/>
          <w:color w:val="000000" w:themeColor="text1"/>
          <w:kern w:val="0"/>
          <w:sz w:val="24"/>
          <w:szCs w:val="24"/>
        </w:rPr>
        <w:t>3、</w:t>
      </w:r>
      <w:r w:rsidRPr="006A20C9">
        <w:rPr>
          <w:rFonts w:ascii="宋体" w:eastAsia="宋体" w:hAnsi="宋体" w:cs="宋体" w:hint="eastAsia"/>
          <w:color w:val="000000" w:themeColor="text1"/>
          <w:kern w:val="0"/>
          <w:sz w:val="24"/>
          <w:szCs w:val="24"/>
        </w:rPr>
        <w:t>企业在申报当年度企业所得税汇算清缴资料时，应附送海上油气生产设施弃置费情况表（见附表）。</w:t>
      </w:r>
    </w:p>
    <w:p w14:paraId="5DD23CAB" w14:textId="5FD2D376" w:rsidR="006A20C9" w:rsidRPr="006A20C9" w:rsidRDefault="006A20C9" w:rsidP="006A20C9">
      <w:pPr>
        <w:widowControl/>
        <w:spacing w:beforeLines="50" w:before="156" w:line="480" w:lineRule="atLeast"/>
        <w:ind w:firstLineChars="200" w:firstLine="480"/>
        <w:jc w:val="right"/>
        <w:rPr>
          <w:rFonts w:ascii="宋体" w:eastAsia="宋体" w:hAnsi="宋体"/>
          <w:bCs/>
          <w:color w:val="000000" w:themeColor="text1"/>
          <w:sz w:val="24"/>
          <w:szCs w:val="24"/>
        </w:rPr>
      </w:pPr>
      <w:r w:rsidRPr="006A20C9">
        <w:rPr>
          <w:rFonts w:ascii="宋体" w:eastAsia="宋体" w:hAnsi="宋体" w:hint="eastAsia"/>
          <w:bCs/>
          <w:color w:val="000000" w:themeColor="text1"/>
          <w:sz w:val="24"/>
          <w:szCs w:val="24"/>
        </w:rPr>
        <w:t>（</w:t>
      </w:r>
      <w:hyperlink r:id="rId38" w:history="1">
        <w:r w:rsidR="00F355DD" w:rsidRPr="00F355DD">
          <w:rPr>
            <w:rStyle w:val="a6"/>
            <w:rFonts w:ascii="宋体" w:eastAsia="宋体" w:hAnsi="宋体"/>
            <w:bCs/>
            <w:sz w:val="24"/>
            <w:szCs w:val="24"/>
          </w:rPr>
          <w:t>国家税务总局公告2011年第22号</w:t>
        </w:r>
      </w:hyperlink>
      <w:r w:rsidRPr="006A20C9">
        <w:rPr>
          <w:rFonts w:ascii="宋体" w:eastAsia="宋体" w:hAnsi="宋体" w:hint="eastAsia"/>
          <w:bCs/>
          <w:color w:val="000000" w:themeColor="text1"/>
          <w:sz w:val="24"/>
          <w:szCs w:val="24"/>
        </w:rPr>
        <w:t>第二十二条）</w:t>
      </w:r>
    </w:p>
    <w:p w14:paraId="656E5698" w14:textId="04E67F4B" w:rsidR="006A20C9" w:rsidRPr="006A20C9" w:rsidRDefault="006A20C9" w:rsidP="006A20C9">
      <w:pPr>
        <w:widowControl/>
        <w:spacing w:beforeLines="50" w:before="156" w:line="480" w:lineRule="atLeast"/>
        <w:ind w:firstLineChars="200" w:firstLine="482"/>
        <w:jc w:val="left"/>
        <w:rPr>
          <w:rFonts w:ascii="宋体" w:eastAsia="宋体" w:hAnsi="宋体" w:cs="宋体"/>
          <w:color w:val="000000" w:themeColor="text1"/>
          <w:kern w:val="0"/>
          <w:sz w:val="24"/>
          <w:szCs w:val="24"/>
        </w:rPr>
      </w:pPr>
      <w:r w:rsidRPr="006A20C9">
        <w:rPr>
          <w:rFonts w:ascii="宋体" w:eastAsia="宋体" w:hAnsi="宋体" w:cs="宋体" w:hint="eastAsia"/>
          <w:b/>
          <w:color w:val="000000" w:themeColor="text1"/>
          <w:kern w:val="0"/>
          <w:sz w:val="24"/>
          <w:szCs w:val="24"/>
        </w:rPr>
        <w:t>4、</w:t>
      </w:r>
      <w:r w:rsidRPr="006A20C9">
        <w:rPr>
          <w:rFonts w:ascii="宋体" w:eastAsia="宋体" w:hAnsi="宋体" w:cs="宋体" w:hint="eastAsia"/>
          <w:color w:val="000000" w:themeColor="text1"/>
          <w:kern w:val="0"/>
          <w:sz w:val="24"/>
          <w:szCs w:val="24"/>
        </w:rPr>
        <w:t>海上油（气）田设施废弃处置作业完成后，在进行税务清算时，应提供企业对弃置费的计提、使用和各投资方承担等情况的说明。</w:t>
      </w:r>
    </w:p>
    <w:p w14:paraId="54FCE354" w14:textId="6D7463F5" w:rsidR="006A20C9" w:rsidRPr="006A20C9" w:rsidRDefault="006A20C9" w:rsidP="006A20C9">
      <w:pPr>
        <w:widowControl/>
        <w:spacing w:beforeLines="50" w:before="156" w:line="480" w:lineRule="atLeast"/>
        <w:ind w:firstLineChars="200" w:firstLine="480"/>
        <w:jc w:val="right"/>
        <w:rPr>
          <w:rFonts w:ascii="宋体" w:eastAsia="宋体" w:hAnsi="宋体"/>
          <w:bCs/>
          <w:color w:val="000000" w:themeColor="text1"/>
          <w:sz w:val="24"/>
          <w:szCs w:val="24"/>
        </w:rPr>
      </w:pPr>
      <w:r w:rsidRPr="006A20C9">
        <w:rPr>
          <w:rFonts w:ascii="宋体" w:eastAsia="宋体" w:hAnsi="宋体" w:hint="eastAsia"/>
          <w:bCs/>
          <w:color w:val="000000" w:themeColor="text1"/>
          <w:sz w:val="24"/>
          <w:szCs w:val="24"/>
        </w:rPr>
        <w:t>（</w:t>
      </w:r>
      <w:hyperlink r:id="rId39" w:history="1">
        <w:r w:rsidR="00F355DD" w:rsidRPr="00F355DD">
          <w:rPr>
            <w:rStyle w:val="a6"/>
            <w:rFonts w:ascii="宋体" w:eastAsia="宋体" w:hAnsi="宋体"/>
            <w:bCs/>
            <w:sz w:val="24"/>
            <w:szCs w:val="24"/>
          </w:rPr>
          <w:t>国家税务总局公告2011年第22号</w:t>
        </w:r>
      </w:hyperlink>
      <w:r w:rsidRPr="006A20C9">
        <w:rPr>
          <w:rFonts w:ascii="宋体" w:eastAsia="宋体" w:hAnsi="宋体" w:hint="eastAsia"/>
          <w:bCs/>
          <w:color w:val="000000" w:themeColor="text1"/>
          <w:sz w:val="24"/>
          <w:szCs w:val="24"/>
        </w:rPr>
        <w:t>第二十三条）</w:t>
      </w:r>
    </w:p>
    <w:p w14:paraId="1FD73674" w14:textId="36B04C22" w:rsidR="008A6E0E" w:rsidRPr="00086551" w:rsidRDefault="00086551" w:rsidP="00086551">
      <w:pPr>
        <w:pStyle w:val="2"/>
        <w:spacing w:before="50" w:after="0" w:line="480" w:lineRule="atLeast"/>
        <w:rPr>
          <w:rFonts w:ascii="宋体" w:eastAsia="宋体" w:hAnsi="宋体" w:hint="eastAsia"/>
          <w:sz w:val="24"/>
          <w:szCs w:val="24"/>
        </w:rPr>
      </w:pPr>
      <w:r w:rsidRPr="00086551">
        <w:rPr>
          <w:rFonts w:ascii="宋体" w:eastAsia="宋体" w:hAnsi="宋体" w:hint="eastAsia"/>
          <w:sz w:val="24"/>
          <w:szCs w:val="24"/>
        </w:rPr>
        <w:t>（六）计提后，改变用途的</w:t>
      </w:r>
    </w:p>
    <w:p w14:paraId="745610DC" w14:textId="29389F65" w:rsidR="00086551" w:rsidRPr="00086551" w:rsidRDefault="00086551" w:rsidP="00086551">
      <w:pPr>
        <w:spacing w:beforeLines="50" w:before="156" w:line="480" w:lineRule="atLeast"/>
        <w:ind w:firstLineChars="200" w:firstLine="480"/>
        <w:jc w:val="left"/>
        <w:rPr>
          <w:rFonts w:asciiTheme="minorEastAsia" w:hAnsiTheme="minorEastAsia"/>
          <w:b/>
          <w:bCs/>
          <w:kern w:val="44"/>
          <w:sz w:val="24"/>
          <w:szCs w:val="24"/>
        </w:rPr>
      </w:pPr>
      <w:bookmarkStart w:id="2" w:name="_GoBack"/>
      <w:bookmarkEnd w:id="2"/>
      <w:r w:rsidRPr="00086551">
        <w:rPr>
          <w:rFonts w:hint="eastAsia"/>
          <w:color w:val="333333"/>
          <w:sz w:val="24"/>
          <w:szCs w:val="24"/>
          <w:shd w:val="clear" w:color="auto" w:fill="FFFFFF"/>
        </w:rPr>
        <w:t>企业依本办法计提的弃置费，凡改变用途的，不得在企业所得税前扣除。已经扣除的，应调增改变用途当年的应纳税所得额，并按《</w:t>
      </w:r>
      <w:hyperlink r:id="rId40" w:tgtFrame="_self" w:history="1">
        <w:r w:rsidRPr="00086551">
          <w:rPr>
            <w:rFonts w:hint="eastAsia"/>
            <w:color w:val="6E6E6E"/>
            <w:sz w:val="24"/>
            <w:szCs w:val="24"/>
            <w:u w:val="single"/>
            <w:shd w:val="clear" w:color="auto" w:fill="FFFFFF"/>
          </w:rPr>
          <w:t>中华人民共和国税收征收管理法</w:t>
        </w:r>
      </w:hyperlink>
      <w:r w:rsidRPr="00086551">
        <w:rPr>
          <w:rFonts w:hint="eastAsia"/>
          <w:color w:val="333333"/>
          <w:sz w:val="24"/>
          <w:szCs w:val="24"/>
          <w:shd w:val="clear" w:color="auto" w:fill="FFFFFF"/>
        </w:rPr>
        <w:t>》的有关规定处理。</w:t>
      </w:r>
    </w:p>
    <w:p w14:paraId="0E3D5C06" w14:textId="144D1F8A" w:rsidR="00086551" w:rsidRPr="006A20C9" w:rsidRDefault="00086551" w:rsidP="00086551">
      <w:pPr>
        <w:widowControl/>
        <w:spacing w:beforeLines="50" w:before="156" w:line="480" w:lineRule="atLeast"/>
        <w:ind w:firstLineChars="200" w:firstLine="480"/>
        <w:jc w:val="right"/>
        <w:rPr>
          <w:rFonts w:ascii="宋体" w:eastAsia="宋体" w:hAnsi="宋体"/>
          <w:bCs/>
          <w:color w:val="000000" w:themeColor="text1"/>
          <w:sz w:val="24"/>
          <w:szCs w:val="24"/>
        </w:rPr>
      </w:pPr>
      <w:r w:rsidRPr="006A20C9">
        <w:rPr>
          <w:rFonts w:ascii="宋体" w:eastAsia="宋体" w:hAnsi="宋体" w:hint="eastAsia"/>
          <w:bCs/>
          <w:color w:val="000000" w:themeColor="text1"/>
          <w:sz w:val="24"/>
          <w:szCs w:val="24"/>
        </w:rPr>
        <w:t>（</w:t>
      </w:r>
      <w:hyperlink r:id="rId41" w:history="1">
        <w:r w:rsidRPr="00F355DD">
          <w:rPr>
            <w:rStyle w:val="a6"/>
            <w:rFonts w:ascii="宋体" w:eastAsia="宋体" w:hAnsi="宋体"/>
            <w:bCs/>
            <w:sz w:val="24"/>
            <w:szCs w:val="24"/>
          </w:rPr>
          <w:t>国家税务总局公告2011年第22号</w:t>
        </w:r>
      </w:hyperlink>
      <w:r w:rsidRPr="006A20C9">
        <w:rPr>
          <w:rFonts w:ascii="宋体" w:eastAsia="宋体" w:hAnsi="宋体" w:hint="eastAsia"/>
          <w:bCs/>
          <w:color w:val="000000" w:themeColor="text1"/>
          <w:sz w:val="24"/>
          <w:szCs w:val="24"/>
        </w:rPr>
        <w:t>第二十</w:t>
      </w:r>
      <w:r>
        <w:rPr>
          <w:rFonts w:ascii="宋体" w:eastAsia="宋体" w:hAnsi="宋体" w:hint="eastAsia"/>
          <w:bCs/>
          <w:color w:val="000000" w:themeColor="text1"/>
          <w:sz w:val="24"/>
          <w:szCs w:val="24"/>
        </w:rPr>
        <w:t>四</w:t>
      </w:r>
      <w:r w:rsidRPr="006A20C9">
        <w:rPr>
          <w:rFonts w:ascii="宋体" w:eastAsia="宋体" w:hAnsi="宋体" w:hint="eastAsia"/>
          <w:bCs/>
          <w:color w:val="000000" w:themeColor="text1"/>
          <w:sz w:val="24"/>
          <w:szCs w:val="24"/>
        </w:rPr>
        <w:t>条）</w:t>
      </w:r>
    </w:p>
    <w:p w14:paraId="1FB11262" w14:textId="7C038EA3" w:rsidR="00555221" w:rsidRPr="00555221" w:rsidRDefault="00555221" w:rsidP="008A6E0E">
      <w:pPr>
        <w:spacing w:beforeLines="50" w:before="156" w:afterLines="50" w:after="156" w:line="480" w:lineRule="atLeast"/>
        <w:jc w:val="left"/>
        <w:rPr>
          <w:rFonts w:asciiTheme="minorEastAsia" w:hAnsiTheme="minorEastAsia"/>
          <w:color w:val="000000" w:themeColor="text1"/>
          <w:sz w:val="24"/>
          <w:szCs w:val="24"/>
        </w:rPr>
      </w:pPr>
    </w:p>
    <w:p w14:paraId="0645333A" w14:textId="77777777" w:rsidR="00555221" w:rsidRPr="00555221" w:rsidRDefault="00555221" w:rsidP="00555221">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p>
    <w:p w14:paraId="0AF4CBC2" w14:textId="6F2091A6" w:rsidR="0047122A" w:rsidRDefault="0047122A" w:rsidP="00726CEF">
      <w:pPr>
        <w:pStyle w:val="a5"/>
        <w:shd w:val="clear" w:color="auto" w:fill="FFFFFF"/>
        <w:spacing w:beforeLines="50" w:before="156" w:beforeAutospacing="0" w:after="0" w:afterAutospacing="0" w:line="480" w:lineRule="atLeast"/>
        <w:ind w:firstLineChars="200" w:firstLine="480"/>
        <w:rPr>
          <w:color w:val="000000" w:themeColor="text1"/>
        </w:rPr>
      </w:pPr>
    </w:p>
    <w:p w14:paraId="4F80808B" w14:textId="77777777" w:rsidR="005E47E7" w:rsidRPr="00726CEF" w:rsidRDefault="005E47E7" w:rsidP="00726CEF">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p>
    <w:sectPr w:rsidR="005E47E7" w:rsidRPr="00726CEF">
      <w:footerReference w:type="default" r:id="rId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4C753" w14:textId="77777777" w:rsidR="00B5665B" w:rsidRDefault="00B5665B" w:rsidP="008D63C6">
      <w:r>
        <w:separator/>
      </w:r>
    </w:p>
  </w:endnote>
  <w:endnote w:type="continuationSeparator" w:id="0">
    <w:p w14:paraId="35DC3F7B" w14:textId="77777777" w:rsidR="00B5665B" w:rsidRDefault="00B5665B"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86551">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86551">
              <w:rPr>
                <w:b/>
                <w:bCs/>
                <w:noProof/>
              </w:rPr>
              <w:t>6</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4E838" w14:textId="77777777" w:rsidR="00B5665B" w:rsidRDefault="00B5665B" w:rsidP="008D63C6">
      <w:r>
        <w:separator/>
      </w:r>
    </w:p>
  </w:footnote>
  <w:footnote w:type="continuationSeparator" w:id="0">
    <w:p w14:paraId="50D907FD" w14:textId="77777777" w:rsidR="00B5665B" w:rsidRDefault="00B5665B" w:rsidP="008D6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665B5"/>
    <w:rsid w:val="00076DF4"/>
    <w:rsid w:val="00086551"/>
    <w:rsid w:val="00095CF3"/>
    <w:rsid w:val="000A1580"/>
    <w:rsid w:val="000E06BC"/>
    <w:rsid w:val="000E1550"/>
    <w:rsid w:val="000F6FDA"/>
    <w:rsid w:val="0010501A"/>
    <w:rsid w:val="00106154"/>
    <w:rsid w:val="0012077A"/>
    <w:rsid w:val="00124CCD"/>
    <w:rsid w:val="0013371B"/>
    <w:rsid w:val="00143735"/>
    <w:rsid w:val="00153E93"/>
    <w:rsid w:val="001773B2"/>
    <w:rsid w:val="001825B2"/>
    <w:rsid w:val="00186F69"/>
    <w:rsid w:val="00204AE5"/>
    <w:rsid w:val="00204EA7"/>
    <w:rsid w:val="0023101A"/>
    <w:rsid w:val="00264D0E"/>
    <w:rsid w:val="0028652D"/>
    <w:rsid w:val="002B633B"/>
    <w:rsid w:val="002D4CDD"/>
    <w:rsid w:val="002E1AF6"/>
    <w:rsid w:val="002F50D4"/>
    <w:rsid w:val="003006A6"/>
    <w:rsid w:val="003163EC"/>
    <w:rsid w:val="00322E87"/>
    <w:rsid w:val="003420C2"/>
    <w:rsid w:val="0034249D"/>
    <w:rsid w:val="003773C5"/>
    <w:rsid w:val="00390245"/>
    <w:rsid w:val="003A3829"/>
    <w:rsid w:val="003A3D20"/>
    <w:rsid w:val="003E7611"/>
    <w:rsid w:val="0040440C"/>
    <w:rsid w:val="00416ED8"/>
    <w:rsid w:val="004271D7"/>
    <w:rsid w:val="00462FF2"/>
    <w:rsid w:val="0047122A"/>
    <w:rsid w:val="004B6E8F"/>
    <w:rsid w:val="005111C0"/>
    <w:rsid w:val="005536F0"/>
    <w:rsid w:val="00555221"/>
    <w:rsid w:val="00586093"/>
    <w:rsid w:val="005B13D2"/>
    <w:rsid w:val="005D00CA"/>
    <w:rsid w:val="005E47E7"/>
    <w:rsid w:val="00604838"/>
    <w:rsid w:val="006309F4"/>
    <w:rsid w:val="006420CF"/>
    <w:rsid w:val="0066072D"/>
    <w:rsid w:val="00670E0F"/>
    <w:rsid w:val="00672948"/>
    <w:rsid w:val="00677107"/>
    <w:rsid w:val="006979BE"/>
    <w:rsid w:val="006A20C9"/>
    <w:rsid w:val="006A6936"/>
    <w:rsid w:val="006E3156"/>
    <w:rsid w:val="00726CEF"/>
    <w:rsid w:val="007273FC"/>
    <w:rsid w:val="0073415B"/>
    <w:rsid w:val="00740A21"/>
    <w:rsid w:val="00751B4A"/>
    <w:rsid w:val="00782523"/>
    <w:rsid w:val="007B6D37"/>
    <w:rsid w:val="007E52D4"/>
    <w:rsid w:val="00821BDC"/>
    <w:rsid w:val="00836465"/>
    <w:rsid w:val="00846BFB"/>
    <w:rsid w:val="00867863"/>
    <w:rsid w:val="00890BDB"/>
    <w:rsid w:val="008A13A6"/>
    <w:rsid w:val="008A6E0E"/>
    <w:rsid w:val="008D63C6"/>
    <w:rsid w:val="008F4E32"/>
    <w:rsid w:val="008F5C3A"/>
    <w:rsid w:val="009249DE"/>
    <w:rsid w:val="009524C2"/>
    <w:rsid w:val="00990092"/>
    <w:rsid w:val="009A1F5F"/>
    <w:rsid w:val="009E18C9"/>
    <w:rsid w:val="00A1440A"/>
    <w:rsid w:val="00A27AE2"/>
    <w:rsid w:val="00A73CD1"/>
    <w:rsid w:val="00A91435"/>
    <w:rsid w:val="00A96738"/>
    <w:rsid w:val="00AA70A7"/>
    <w:rsid w:val="00AC3F64"/>
    <w:rsid w:val="00AC536B"/>
    <w:rsid w:val="00AD0622"/>
    <w:rsid w:val="00AF5778"/>
    <w:rsid w:val="00AF798D"/>
    <w:rsid w:val="00B16CF6"/>
    <w:rsid w:val="00B33E8A"/>
    <w:rsid w:val="00B5665B"/>
    <w:rsid w:val="00B86D1F"/>
    <w:rsid w:val="00BC5EB2"/>
    <w:rsid w:val="00BD0510"/>
    <w:rsid w:val="00BF3704"/>
    <w:rsid w:val="00C30CE5"/>
    <w:rsid w:val="00C31DC2"/>
    <w:rsid w:val="00C56DB0"/>
    <w:rsid w:val="00C56E20"/>
    <w:rsid w:val="00C83F5C"/>
    <w:rsid w:val="00CA4D89"/>
    <w:rsid w:val="00CC24D7"/>
    <w:rsid w:val="00CE17B0"/>
    <w:rsid w:val="00CE7FDB"/>
    <w:rsid w:val="00D116FD"/>
    <w:rsid w:val="00D206C3"/>
    <w:rsid w:val="00D238CC"/>
    <w:rsid w:val="00D30FE2"/>
    <w:rsid w:val="00D42F41"/>
    <w:rsid w:val="00D505A2"/>
    <w:rsid w:val="00D72B80"/>
    <w:rsid w:val="00D84FAD"/>
    <w:rsid w:val="00D946BF"/>
    <w:rsid w:val="00DB24DC"/>
    <w:rsid w:val="00DB566A"/>
    <w:rsid w:val="00DC0CBB"/>
    <w:rsid w:val="00DE6113"/>
    <w:rsid w:val="00DF2592"/>
    <w:rsid w:val="00DF51FF"/>
    <w:rsid w:val="00E22101"/>
    <w:rsid w:val="00E45626"/>
    <w:rsid w:val="00E54CBE"/>
    <w:rsid w:val="00E67710"/>
    <w:rsid w:val="00E76EED"/>
    <w:rsid w:val="00EA120E"/>
    <w:rsid w:val="00EE7993"/>
    <w:rsid w:val="00EF1B16"/>
    <w:rsid w:val="00F03A07"/>
    <w:rsid w:val="00F0630D"/>
    <w:rsid w:val="00F11662"/>
    <w:rsid w:val="00F12A62"/>
    <w:rsid w:val="00F2659C"/>
    <w:rsid w:val="00F355DD"/>
    <w:rsid w:val="00F51D5A"/>
    <w:rsid w:val="00F53E80"/>
    <w:rsid w:val="00F57C18"/>
    <w:rsid w:val="00F76D8C"/>
    <w:rsid w:val="00FA3BF6"/>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7083.html" TargetMode="External"/><Relationship Id="rId13" Type="http://schemas.openxmlformats.org/officeDocument/2006/relationships/hyperlink" Target="http://ssfb86.com/index/News/detail/newsid/1783.html" TargetMode="External"/><Relationship Id="rId18" Type="http://schemas.openxmlformats.org/officeDocument/2006/relationships/hyperlink" Target="http://ssfb86.com/index/News/detail/newsid/1783.html" TargetMode="External"/><Relationship Id="rId26" Type="http://schemas.openxmlformats.org/officeDocument/2006/relationships/hyperlink" Target="http://ssfb86.com/index/News/detail/newsid/1783.html" TargetMode="External"/><Relationship Id="rId39" Type="http://schemas.openxmlformats.org/officeDocument/2006/relationships/hyperlink" Target="http://ssfb86.com/index/News/detail/newsid/1783.html" TargetMode="External"/><Relationship Id="rId3" Type="http://schemas.microsoft.com/office/2007/relationships/stylesWithEffects" Target="stylesWithEffects.xml"/><Relationship Id="rId21" Type="http://schemas.openxmlformats.org/officeDocument/2006/relationships/hyperlink" Target="http://ssfb86.com/index/News/detail/newsid/1783.html" TargetMode="External"/><Relationship Id="rId34" Type="http://schemas.openxmlformats.org/officeDocument/2006/relationships/hyperlink" Target="http://ssfb86.com/index/News/detail/newsid/1783.htm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fb86.com/index/News/detail/newsid/1783.html" TargetMode="External"/><Relationship Id="rId17" Type="http://schemas.openxmlformats.org/officeDocument/2006/relationships/hyperlink" Target="http://ssfb86.com/index/News/detail/newsid/1783.html" TargetMode="External"/><Relationship Id="rId25" Type="http://schemas.openxmlformats.org/officeDocument/2006/relationships/hyperlink" Target="http://ssfb86.com/index/News/detail/newsid/1783.html" TargetMode="External"/><Relationship Id="rId33" Type="http://schemas.openxmlformats.org/officeDocument/2006/relationships/hyperlink" Target="http://ssfb86.com/index/News/detail/newsid/1783.html" TargetMode="External"/><Relationship Id="rId38" Type="http://schemas.openxmlformats.org/officeDocument/2006/relationships/hyperlink" Target="http://ssfb86.com/index/News/detail/newsid/1783.html" TargetMode="External"/><Relationship Id="rId2" Type="http://schemas.openxmlformats.org/officeDocument/2006/relationships/styles" Target="styles.xml"/><Relationship Id="rId16" Type="http://schemas.openxmlformats.org/officeDocument/2006/relationships/hyperlink" Target="http://ssfb86.com/index/News/detail/newsid/1783.html" TargetMode="External"/><Relationship Id="rId20" Type="http://schemas.openxmlformats.org/officeDocument/2006/relationships/hyperlink" Target="http://ssfb86.com/index/News/detail/newsid/1783.html" TargetMode="External"/><Relationship Id="rId29" Type="http://schemas.openxmlformats.org/officeDocument/2006/relationships/hyperlink" Target="http://ssfb86.com/index/News/detail/newsid/1783.html" TargetMode="External"/><Relationship Id="rId41" Type="http://schemas.openxmlformats.org/officeDocument/2006/relationships/hyperlink" Target="http://ssfb86.com/index/News/detail/newsid/178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b86.com/index/News/detail/newsid/1783.html" TargetMode="External"/><Relationship Id="rId24" Type="http://schemas.openxmlformats.org/officeDocument/2006/relationships/hyperlink" Target="http://ssfb86.com/index/News/detail/newsid/1783.html" TargetMode="External"/><Relationship Id="rId32" Type="http://schemas.openxmlformats.org/officeDocument/2006/relationships/hyperlink" Target="http://ssfb86.com/index/News/detail/newsid/1783.html" TargetMode="External"/><Relationship Id="rId37" Type="http://schemas.openxmlformats.org/officeDocument/2006/relationships/hyperlink" Target="http://ssfb86.com/index/News/detail/newsid/1783.html" TargetMode="External"/><Relationship Id="rId40" Type="http://schemas.openxmlformats.org/officeDocument/2006/relationships/hyperlink" Target="http://ssfb86.com/index/News/detail/newsid/1036.html" TargetMode="External"/><Relationship Id="rId5" Type="http://schemas.openxmlformats.org/officeDocument/2006/relationships/webSettings" Target="webSettings.xml"/><Relationship Id="rId15" Type="http://schemas.openxmlformats.org/officeDocument/2006/relationships/hyperlink" Target="http://ssfb86.com/index/News/detail/newsid/1783.html" TargetMode="External"/><Relationship Id="rId23" Type="http://schemas.openxmlformats.org/officeDocument/2006/relationships/hyperlink" Target="http://ssfb86.com/index/News/detail/newsid/1783.html" TargetMode="External"/><Relationship Id="rId28" Type="http://schemas.openxmlformats.org/officeDocument/2006/relationships/hyperlink" Target="http://ssfb86.com/index/News/detail/newsid/1783.html" TargetMode="External"/><Relationship Id="rId36" Type="http://schemas.openxmlformats.org/officeDocument/2006/relationships/hyperlink" Target="http://ssfb86.com/index/News/detail/newsid/1783.html" TargetMode="External"/><Relationship Id="rId10" Type="http://schemas.openxmlformats.org/officeDocument/2006/relationships/hyperlink" Target="http://ssfb86.com/index/News/detail/newsid/7083.html" TargetMode="External"/><Relationship Id="rId19" Type="http://schemas.openxmlformats.org/officeDocument/2006/relationships/hyperlink" Target="http://ssfb86.com/index/News/detail/newsid/1783.html" TargetMode="External"/><Relationship Id="rId31" Type="http://schemas.openxmlformats.org/officeDocument/2006/relationships/hyperlink" Target="http://ssfb86.com/index/News/detail/newsid/1783.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fb86.com/index/News/detail/newsid/1036.html" TargetMode="External"/><Relationship Id="rId14" Type="http://schemas.openxmlformats.org/officeDocument/2006/relationships/hyperlink" Target="http://ssfb86.com/index/News/detail/newsid/1783.html" TargetMode="External"/><Relationship Id="rId22" Type="http://schemas.openxmlformats.org/officeDocument/2006/relationships/hyperlink" Target="http://ssfb86.com/index/News/detail/newsid/1783.html" TargetMode="External"/><Relationship Id="rId27" Type="http://schemas.openxmlformats.org/officeDocument/2006/relationships/hyperlink" Target="http://ssfb86.com/index/News/detail/newsid/1783.html" TargetMode="External"/><Relationship Id="rId30" Type="http://schemas.openxmlformats.org/officeDocument/2006/relationships/hyperlink" Target="http://ssfb86.com/index/News/detail/newsid/1783.html" TargetMode="External"/><Relationship Id="rId35" Type="http://schemas.openxmlformats.org/officeDocument/2006/relationships/hyperlink" Target="http://ssfb86.com/index/News/detail/newsid/1783.html" TargetMode="External"/><Relationship Id="rId43"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E3FB2-B970-4DFB-A13A-9B8FDBFC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845</Words>
  <Characters>4820</Characters>
  <Application>Microsoft Office Word</Application>
  <DocSecurity>0</DocSecurity>
  <Lines>40</Lines>
  <Paragraphs>11</Paragraphs>
  <ScaleCrop>false</ScaleCrop>
  <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8</cp:revision>
  <dcterms:created xsi:type="dcterms:W3CDTF">2020-07-05T07:20:00Z</dcterms:created>
  <dcterms:modified xsi:type="dcterms:W3CDTF">2020-10-12T00:48:00Z</dcterms:modified>
</cp:coreProperties>
</file>