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224C51DD" w:rsidR="00F57C18" w:rsidRDefault="005479FB" w:rsidP="008D63C6">
      <w:pPr>
        <w:jc w:val="center"/>
        <w:rPr>
          <w:rFonts w:asciiTheme="minorEastAsia" w:hAnsiTheme="minorEastAsia"/>
          <w:sz w:val="44"/>
          <w:szCs w:val="44"/>
        </w:rPr>
      </w:pPr>
      <w:r w:rsidRPr="005479FB">
        <w:rPr>
          <w:rFonts w:asciiTheme="minorEastAsia" w:hAnsiTheme="minorEastAsia" w:hint="eastAsia"/>
          <w:sz w:val="44"/>
          <w:szCs w:val="44"/>
        </w:rPr>
        <w:t>6.2.</w:t>
      </w:r>
      <w:r w:rsidR="00D93BA4">
        <w:rPr>
          <w:rFonts w:asciiTheme="minorEastAsia" w:hAnsiTheme="minorEastAsia"/>
          <w:sz w:val="44"/>
          <w:szCs w:val="44"/>
        </w:rPr>
        <w:t>3</w:t>
      </w:r>
      <w:r w:rsidRPr="005479FB">
        <w:rPr>
          <w:rFonts w:asciiTheme="minorEastAsia" w:hAnsiTheme="minorEastAsia" w:hint="eastAsia"/>
          <w:sz w:val="44"/>
          <w:szCs w:val="44"/>
        </w:rPr>
        <w:t>.</w:t>
      </w:r>
      <w:r w:rsidR="007124C3">
        <w:rPr>
          <w:rFonts w:asciiTheme="minorEastAsia" w:hAnsiTheme="minorEastAsia"/>
          <w:sz w:val="44"/>
          <w:szCs w:val="44"/>
        </w:rPr>
        <w:t>8</w:t>
      </w:r>
      <w:r w:rsidRPr="005479FB">
        <w:rPr>
          <w:rFonts w:asciiTheme="minorEastAsia" w:hAnsiTheme="minorEastAsia" w:hint="eastAsia"/>
          <w:sz w:val="44"/>
          <w:szCs w:val="44"/>
        </w:rPr>
        <w:t xml:space="preserve">  </w:t>
      </w:r>
      <w:r w:rsidR="003F1839" w:rsidRPr="003F1839">
        <w:rPr>
          <w:rFonts w:asciiTheme="minorEastAsia" w:hAnsiTheme="minorEastAsia" w:hint="eastAsia"/>
          <w:sz w:val="44"/>
          <w:szCs w:val="44"/>
        </w:rPr>
        <w:t>预提所得税率的减免</w:t>
      </w:r>
    </w:p>
    <w:p w14:paraId="31A3B9D0" w14:textId="274EA86B" w:rsidR="003409FD" w:rsidRDefault="003409FD" w:rsidP="00AE0E17">
      <w:pPr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D3E152" w14:textId="4F8283A9" w:rsidR="007124C3" w:rsidRPr="007124C3" w:rsidRDefault="007124C3" w:rsidP="007124C3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7124C3">
        <w:rPr>
          <w:rFonts w:asciiTheme="minorEastAsia" w:hAnsiTheme="minorEastAsia" w:hint="eastAsia"/>
          <w:color w:val="000000" w:themeColor="text1"/>
          <w:sz w:val="24"/>
          <w:szCs w:val="24"/>
        </w:rPr>
        <w:t>一、政策内容</w:t>
      </w:r>
    </w:p>
    <w:p w14:paraId="517809B0" w14:textId="2739A321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/>
          <w:color w:val="000000" w:themeColor="text1"/>
        </w:rPr>
        <w:t>本法第三条第三款规定的所得。</w:t>
      </w:r>
    </w:p>
    <w:p w14:paraId="05188B5E" w14:textId="3A3B69FB" w:rsidR="007124C3" w:rsidRPr="007124C3" w:rsidRDefault="007124C3" w:rsidP="007124C3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1671E">
        <w:rPr>
          <w:rFonts w:asciiTheme="minorEastAsia" w:hAnsiTheme="minorEastAsia" w:hint="eastAsia"/>
          <w:color w:val="000000" w:themeColor="text1"/>
        </w:rPr>
        <w:t>《</w:t>
      </w:r>
      <w:hyperlink r:id="rId9" w:history="1">
        <w:r w:rsidR="0001671E">
          <w:rPr>
            <w:rStyle w:val="a6"/>
            <w:rFonts w:hint="eastAsia"/>
          </w:rPr>
          <w:t>企业所得税法</w:t>
        </w:r>
      </w:hyperlink>
      <w:r w:rsidR="0001671E">
        <w:rPr>
          <w:rFonts w:hint="eastAsia"/>
        </w:rPr>
        <w:t>》</w:t>
      </w:r>
      <w:r w:rsidRPr="007124C3">
        <w:rPr>
          <w:rFonts w:asciiTheme="minorEastAsia" w:eastAsiaTheme="minorEastAsia" w:hAnsiTheme="minorEastAsia" w:hint="eastAsia"/>
          <w:color w:val="000000" w:themeColor="text1"/>
        </w:rPr>
        <w:t>第二十七条第五款）</w:t>
      </w:r>
    </w:p>
    <w:p w14:paraId="43577FC0" w14:textId="45EFF416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</w:rPr>
        <w:t>非居民企业取得</w:t>
      </w:r>
      <w:hyperlink r:id="rId10" w:history="1">
        <w:r w:rsidR="0040051A">
          <w:rPr>
            <w:rStyle w:val="a6"/>
            <w:rFonts w:hint="eastAsia"/>
          </w:rPr>
          <w:t>企业所得税法</w:t>
        </w:r>
      </w:hyperlink>
      <w:r w:rsidRPr="007124C3">
        <w:rPr>
          <w:rFonts w:asciiTheme="minorEastAsia" w:eastAsiaTheme="minorEastAsia" w:hAnsiTheme="minorEastAsia" w:hint="eastAsia"/>
          <w:color w:val="000000" w:themeColor="text1"/>
        </w:rPr>
        <w:t>第二十七条第（五）项规定的所得，减按10%的税率征收企业所得税。</w:t>
      </w:r>
    </w:p>
    <w:p w14:paraId="0ECCCF8E" w14:textId="11BBE542" w:rsidR="007124C3" w:rsidRPr="007124C3" w:rsidRDefault="007124C3" w:rsidP="007124C3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7124C3">
        <w:rPr>
          <w:rFonts w:asciiTheme="minorEastAsia" w:eastAsiaTheme="minorEastAsia" w:hAnsiTheme="minorEastAsia" w:hint="eastAsia"/>
          <w:color w:val="000000" w:themeColor="text1"/>
        </w:rPr>
        <w:t>（《</w:t>
      </w:r>
      <w:hyperlink r:id="rId11" w:history="1">
        <w:r w:rsidRPr="0040051A">
          <w:rPr>
            <w:rStyle w:val="a6"/>
            <w:rFonts w:asciiTheme="minorEastAsia" w:eastAsiaTheme="minorEastAsia" w:hAnsiTheme="minorEastAsia" w:hint="eastAsia"/>
          </w:rPr>
          <w:t>企业所得税法实施条例</w:t>
        </w:r>
      </w:hyperlink>
      <w:r w:rsidRPr="007124C3">
        <w:rPr>
          <w:rFonts w:asciiTheme="minorEastAsia" w:eastAsiaTheme="minorEastAsia" w:hAnsiTheme="minorEastAsia" w:hint="eastAsia"/>
          <w:color w:val="000000" w:themeColor="text1"/>
        </w:rPr>
        <w:t>》第九十一条第一款）</w:t>
      </w:r>
    </w:p>
    <w:p w14:paraId="62433627" w14:textId="77777777" w:rsidR="007124C3" w:rsidRPr="007124C3" w:rsidRDefault="007124C3" w:rsidP="007124C3">
      <w:pPr>
        <w:pStyle w:val="2"/>
        <w:spacing w:before="50" w:after="0" w:line="480" w:lineRule="atLeast"/>
        <w:rPr>
          <w:color w:val="000000" w:themeColor="text1"/>
          <w:sz w:val="24"/>
          <w:szCs w:val="24"/>
        </w:rPr>
      </w:pPr>
      <w:r w:rsidRPr="007124C3">
        <w:rPr>
          <w:rFonts w:hint="eastAsia"/>
          <w:color w:val="000000" w:themeColor="text1"/>
          <w:sz w:val="24"/>
          <w:szCs w:val="24"/>
        </w:rPr>
        <w:t>附注：</w:t>
      </w:r>
      <w:r w:rsidRPr="007124C3">
        <w:rPr>
          <w:rFonts w:hint="eastAsia"/>
          <w:color w:val="000000" w:themeColor="text1"/>
          <w:sz w:val="24"/>
          <w:szCs w:val="24"/>
          <w:shd w:val="clear" w:color="auto" w:fill="FFFFFF"/>
        </w:rPr>
        <w:t>非居民企业取得</w:t>
      </w:r>
      <w:r w:rsidRPr="007124C3">
        <w:rPr>
          <w:rFonts w:hint="eastAsia"/>
          <w:color w:val="000000" w:themeColor="text1"/>
          <w:sz w:val="24"/>
          <w:szCs w:val="24"/>
          <w:shd w:val="clear" w:color="auto" w:fill="FFFFFF"/>
        </w:rPr>
        <w:t>B</w:t>
      </w:r>
      <w:r w:rsidRPr="007124C3">
        <w:rPr>
          <w:rFonts w:hint="eastAsia"/>
          <w:color w:val="000000" w:themeColor="text1"/>
          <w:sz w:val="24"/>
          <w:szCs w:val="24"/>
          <w:shd w:val="clear" w:color="auto" w:fill="FFFFFF"/>
        </w:rPr>
        <w:t>股等股票股息征收企业所得税问题</w:t>
      </w:r>
    </w:p>
    <w:p w14:paraId="47815F84" w14:textId="74B167EA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</w:rPr>
        <w:t>根</w:t>
      </w:r>
      <w:r w:rsidRPr="0040051A">
        <w:rPr>
          <w:rFonts w:asciiTheme="minorEastAsia" w:eastAsiaTheme="minorEastAsia" w:hAnsiTheme="minorEastAsia" w:hint="eastAsia"/>
          <w:color w:val="000000" w:themeColor="text1"/>
        </w:rPr>
        <w:t>据</w:t>
      </w:r>
      <w:r w:rsidR="0040051A" w:rsidRPr="0040051A">
        <w:rPr>
          <w:rFonts w:asciiTheme="minorHAnsi" w:eastAsiaTheme="minorEastAsia" w:hAnsiTheme="minorHAnsi" w:cstheme="minorBidi" w:hint="eastAsia"/>
          <w:color w:val="333333"/>
          <w:kern w:val="2"/>
          <w:shd w:val="clear" w:color="auto" w:fill="FFFFFF"/>
        </w:rPr>
        <w:t>《</w:t>
      </w:r>
      <w:hyperlink r:id="rId12" w:tgtFrame="_self" w:history="1">
        <w:r w:rsidR="0040051A" w:rsidRPr="0040051A">
          <w:rPr>
            <w:rFonts w:asciiTheme="minorHAnsi" w:eastAsiaTheme="minorEastAsia" w:hAnsiTheme="minorHAnsi" w:cstheme="minorBidi" w:hint="eastAsia"/>
            <w:color w:val="6E6E6E"/>
            <w:kern w:val="2"/>
            <w:u w:val="single"/>
            <w:shd w:val="clear" w:color="auto" w:fill="FFFFFF"/>
          </w:rPr>
          <w:t>中华人民共和国企业所得税法</w:t>
        </w:r>
      </w:hyperlink>
      <w:r w:rsidR="0040051A" w:rsidRPr="0040051A">
        <w:rPr>
          <w:rFonts w:asciiTheme="minorHAnsi" w:eastAsiaTheme="minorEastAsia" w:hAnsiTheme="minorHAnsi" w:cstheme="minorBidi" w:hint="eastAsia"/>
          <w:color w:val="333333"/>
          <w:kern w:val="2"/>
          <w:shd w:val="clear" w:color="auto" w:fill="FFFFFF"/>
        </w:rPr>
        <w:t>》及其</w:t>
      </w:r>
      <w:hyperlink r:id="rId13" w:tgtFrame="_self" w:history="1">
        <w:r w:rsidR="0040051A" w:rsidRPr="0040051A">
          <w:rPr>
            <w:rFonts w:asciiTheme="minorHAnsi" w:eastAsiaTheme="minorEastAsia" w:hAnsiTheme="minorHAnsi" w:cstheme="minorBidi" w:hint="eastAsia"/>
            <w:color w:val="6E6E6E"/>
            <w:kern w:val="2"/>
            <w:u w:val="single"/>
            <w:shd w:val="clear" w:color="auto" w:fill="FFFFFF"/>
          </w:rPr>
          <w:t>实施条例</w:t>
        </w:r>
      </w:hyperlink>
      <w:r w:rsidRPr="0040051A">
        <w:rPr>
          <w:rFonts w:asciiTheme="minorEastAsia" w:eastAsiaTheme="minorEastAsia" w:hAnsiTheme="minorEastAsia" w:hint="eastAsia"/>
          <w:color w:val="000000" w:themeColor="text1"/>
        </w:rPr>
        <w:t>规定</w:t>
      </w:r>
      <w:r w:rsidRPr="007124C3">
        <w:rPr>
          <w:rFonts w:asciiTheme="minorEastAsia" w:eastAsiaTheme="minorEastAsia" w:hAnsiTheme="minorEastAsia" w:hint="eastAsia"/>
          <w:color w:val="000000" w:themeColor="text1"/>
        </w:rPr>
        <w:t>，在中国境内外公开发行、上市股票（A股、B股和海外股）的中国居民企业，在向非居民企业股东派发2008年及以后年度股息时，应统一按10%的税率代扣代缴企业所得税。非居民企业股东需要享受税收协定待遇的，依照税收协定执行的有关规定办理。 </w:t>
      </w:r>
    </w:p>
    <w:p w14:paraId="493A33A1" w14:textId="4A74A878" w:rsidR="007124C3" w:rsidRPr="007124C3" w:rsidRDefault="007124C3" w:rsidP="007124C3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4" w:history="1">
        <w:r w:rsidRPr="0040051A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国税函[2009]394号</w:t>
        </w:r>
      </w:hyperlink>
      <w:r w:rsidRPr="007124C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）</w:t>
      </w:r>
    </w:p>
    <w:p w14:paraId="12A4AFCE" w14:textId="77777777" w:rsidR="007124C3" w:rsidRPr="007124C3" w:rsidRDefault="007124C3" w:rsidP="007124C3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7124C3">
        <w:rPr>
          <w:rFonts w:asciiTheme="minorEastAsia" w:hAnsiTheme="minorEastAsia" w:hint="eastAsia"/>
          <w:color w:val="000000" w:themeColor="text1"/>
          <w:sz w:val="24"/>
          <w:szCs w:val="24"/>
        </w:rPr>
        <w:t>附注：宣传提纲</w:t>
      </w:r>
    </w:p>
    <w:p w14:paraId="1CA57625" w14:textId="2CECC740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2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b/>
          <w:bCs/>
          <w:color w:val="000000" w:themeColor="text1"/>
        </w:rPr>
        <w:t>汇出境外利润的预提税。</w:t>
      </w:r>
      <w:r w:rsidRPr="007124C3">
        <w:rPr>
          <w:rFonts w:asciiTheme="minorEastAsia" w:eastAsiaTheme="minorEastAsia" w:hAnsiTheme="minorEastAsia" w:hint="eastAsia"/>
          <w:color w:val="000000" w:themeColor="text1"/>
        </w:rPr>
        <w:t>为解决改革开放初期我国资金不足，吸引外资，原税法规定，对汇出境外的利润暂免征收预提所得税。按照国际通行做法，来源国对汇出境外的利润有优先征税权，一般征收预提所得税，税率多在10%以上，如越南、泰国税率为10%，美国、匈牙利、菲律宾、哥伦比亚的税率分别为30%、20%、15%、7%.如果税收协定规定减免的，可以按照协定规定减免，如我国与美国的协定税率为10%、内地与香港的安排为5%（25%以上股权）或10%.</w:t>
      </w:r>
    </w:p>
    <w:p w14:paraId="12B22C6E" w14:textId="2C525EB8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5" w:history="1">
        <w:r w:rsidR="0013212C">
          <w:rPr>
            <w:rStyle w:val="a6"/>
            <w:rFonts w:hint="eastAsia"/>
            <w:shd w:val="clear" w:color="auto" w:fill="FFFFFF"/>
          </w:rPr>
          <w:t>国税函</w:t>
        </w:r>
        <w:r w:rsidR="0013212C">
          <w:rPr>
            <w:rStyle w:val="a6"/>
            <w:shd w:val="clear" w:color="auto" w:fill="FFFFFF"/>
          </w:rPr>
          <w:t>[2008]159</w:t>
        </w:r>
        <w:r w:rsidR="0013212C">
          <w:rPr>
            <w:rStyle w:val="a6"/>
            <w:rFonts w:hint="eastAsia"/>
            <w:shd w:val="clear" w:color="auto" w:fill="FFFFFF"/>
          </w:rPr>
          <w:t>号</w:t>
        </w:r>
      </w:hyperlink>
      <w:r w:rsidRPr="007124C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第二十七条第一款）</w:t>
      </w:r>
    </w:p>
    <w:p w14:paraId="585F3A45" w14:textId="77777777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</w:rPr>
        <w:lastRenderedPageBreak/>
        <w:t>新企业所得税法及其实施条例借鉴国际惯例，规定对汇出境外利润减按10%的税率征收企业所得税，没有给予普遍的免税政策，这样有利于通过双边互惠维护我国税收权益和"走出去"企业的利益。</w:t>
      </w:r>
    </w:p>
    <w:p w14:paraId="584B5FC0" w14:textId="4D3FAC0E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7124C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6" w:history="1">
        <w:r w:rsidR="0013212C">
          <w:rPr>
            <w:rStyle w:val="a6"/>
            <w:rFonts w:hint="eastAsia"/>
            <w:shd w:val="clear" w:color="auto" w:fill="FFFFFF"/>
          </w:rPr>
          <w:t>国税函</w:t>
        </w:r>
        <w:r w:rsidR="0013212C">
          <w:rPr>
            <w:rStyle w:val="a6"/>
            <w:shd w:val="clear" w:color="auto" w:fill="FFFFFF"/>
          </w:rPr>
          <w:t>[2008]159</w:t>
        </w:r>
        <w:r w:rsidR="0013212C">
          <w:rPr>
            <w:rStyle w:val="a6"/>
            <w:rFonts w:hint="eastAsia"/>
            <w:shd w:val="clear" w:color="auto" w:fill="FFFFFF"/>
          </w:rPr>
          <w:t>号</w:t>
        </w:r>
      </w:hyperlink>
      <w:r w:rsidRPr="007124C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第二十七条第二款）</w:t>
      </w:r>
    </w:p>
    <w:p w14:paraId="5EA53E29" w14:textId="77777777" w:rsidR="007124C3" w:rsidRPr="007124C3" w:rsidRDefault="007124C3" w:rsidP="007124C3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2"/>
        <w:rPr>
          <w:rFonts w:asciiTheme="minorEastAsia" w:eastAsiaTheme="minorEastAsia" w:hAnsiTheme="minorEastAsia"/>
          <w:color w:val="000000" w:themeColor="text1"/>
        </w:rPr>
      </w:pPr>
      <w:r w:rsidRPr="007124C3">
        <w:rPr>
          <w:rFonts w:asciiTheme="minorEastAsia" w:eastAsiaTheme="minorEastAsia" w:hAnsiTheme="minorEastAsia" w:hint="eastAsia"/>
          <w:b/>
          <w:bCs/>
          <w:color w:val="000000" w:themeColor="text1"/>
        </w:rPr>
        <w:t>对股息、红利和利息、租金、特许权使用费征收预提税</w:t>
      </w:r>
      <w:r w:rsidRPr="007124C3">
        <w:rPr>
          <w:rFonts w:asciiTheme="minorEastAsia" w:eastAsiaTheme="minorEastAsia" w:hAnsiTheme="minorEastAsia" w:hint="eastAsia"/>
          <w:color w:val="000000" w:themeColor="text1"/>
        </w:rPr>
        <w:t>。对非居民企业在中国境内未设立机构、场所而取得的股息、红利等权益性投资收益和利息、租金、特许权使用费所得，或者是虽设立机构、场所，但取得的上述所得与其机构、场所没有实际联系，按收入全额征收预提所得税，是国际上的通行做法，在我国目前与其他国家签订的税收协定中也遵循了这种国际惯例。由于收入取得在我国境内，但在我国境内没有机构场所，无法确定应纳税所得额，实施条例参照国际通常的做法，规定对此类所得按收入全额作为计税依据，同时规定比企业营业利润适用的所得税税率稍低税率扣缴所得税。</w:t>
      </w:r>
    </w:p>
    <w:p w14:paraId="5FC0A93D" w14:textId="79366CBE" w:rsidR="007124C3" w:rsidRPr="007124C3" w:rsidRDefault="007124C3" w:rsidP="007124C3">
      <w:pPr>
        <w:widowControl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124C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7" w:history="1">
        <w:r w:rsidR="0013212C">
          <w:rPr>
            <w:rStyle w:val="a6"/>
            <w:rFonts w:hint="eastAsia"/>
            <w:kern w:val="0"/>
            <w:sz w:val="24"/>
            <w:szCs w:val="24"/>
            <w:shd w:val="clear" w:color="auto" w:fill="FFFFFF"/>
          </w:rPr>
          <w:t>国税函</w:t>
        </w:r>
        <w:r w:rsidR="0013212C">
          <w:rPr>
            <w:rStyle w:val="a6"/>
            <w:kern w:val="0"/>
            <w:sz w:val="24"/>
            <w:szCs w:val="24"/>
            <w:shd w:val="clear" w:color="auto" w:fill="FFFFFF"/>
          </w:rPr>
          <w:t>[2008]159</w:t>
        </w:r>
        <w:r w:rsidR="0013212C">
          <w:rPr>
            <w:rStyle w:val="a6"/>
            <w:rFonts w:hint="eastAsia"/>
            <w:kern w:val="0"/>
            <w:sz w:val="24"/>
            <w:szCs w:val="24"/>
            <w:shd w:val="clear" w:color="auto" w:fill="FFFFFF"/>
          </w:rPr>
          <w:t>号</w:t>
        </w:r>
      </w:hyperlink>
      <w:r w:rsidRPr="007124C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第二十八条）</w:t>
      </w:r>
    </w:p>
    <w:p w14:paraId="3A62AAAB" w14:textId="77777777" w:rsidR="007124C3" w:rsidRDefault="007124C3" w:rsidP="00AA45FE">
      <w:pPr>
        <w:widowControl/>
        <w:spacing w:beforeLines="50" w:before="156" w:line="48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720A874" w14:textId="33829962" w:rsidR="009220AF" w:rsidRDefault="009220AF" w:rsidP="00AA45FE">
      <w:pPr>
        <w:widowControl/>
        <w:spacing w:beforeLines="50" w:before="156" w:line="480" w:lineRule="atLeast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3443233D" w14:textId="77777777" w:rsidR="007124C3" w:rsidRPr="00641EC4" w:rsidRDefault="007124C3" w:rsidP="00AA45FE">
      <w:pPr>
        <w:widowControl/>
        <w:spacing w:beforeLines="50" w:before="156" w:line="480" w:lineRule="atLeast"/>
        <w:ind w:firstLine="480"/>
        <w:jc w:val="right"/>
        <w:rPr>
          <w:sz w:val="24"/>
          <w:szCs w:val="24"/>
        </w:rPr>
      </w:pPr>
    </w:p>
    <w:sectPr w:rsidR="007124C3" w:rsidRPr="00641EC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365C1" w14:textId="77777777" w:rsidR="00486890" w:rsidRDefault="00486890" w:rsidP="008D63C6">
      <w:r>
        <w:separator/>
      </w:r>
    </w:p>
  </w:endnote>
  <w:endnote w:type="continuationSeparator" w:id="0">
    <w:p w14:paraId="7F5618E3" w14:textId="77777777" w:rsidR="00486890" w:rsidRDefault="00486890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7419BB" w:rsidRDefault="007419B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5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7419BB" w:rsidRDefault="007419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8AE01" w14:textId="77777777" w:rsidR="00486890" w:rsidRDefault="00486890" w:rsidP="008D63C6">
      <w:r>
        <w:separator/>
      </w:r>
    </w:p>
  </w:footnote>
  <w:footnote w:type="continuationSeparator" w:id="0">
    <w:p w14:paraId="1D9F3DAB" w14:textId="77777777" w:rsidR="00486890" w:rsidRDefault="00486890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1671E"/>
    <w:rsid w:val="0002432F"/>
    <w:rsid w:val="00047B96"/>
    <w:rsid w:val="00057177"/>
    <w:rsid w:val="000665B5"/>
    <w:rsid w:val="00067B3F"/>
    <w:rsid w:val="00076DF4"/>
    <w:rsid w:val="000770E1"/>
    <w:rsid w:val="00093648"/>
    <w:rsid w:val="000A1580"/>
    <w:rsid w:val="000A2526"/>
    <w:rsid w:val="000A7A38"/>
    <w:rsid w:val="000B6349"/>
    <w:rsid w:val="000C328F"/>
    <w:rsid w:val="000E06BC"/>
    <w:rsid w:val="000E09D4"/>
    <w:rsid w:val="000E1550"/>
    <w:rsid w:val="000F38B4"/>
    <w:rsid w:val="000F6FDA"/>
    <w:rsid w:val="0010501A"/>
    <w:rsid w:val="00106154"/>
    <w:rsid w:val="001147BF"/>
    <w:rsid w:val="00117DFF"/>
    <w:rsid w:val="0012077A"/>
    <w:rsid w:val="0012208F"/>
    <w:rsid w:val="00124CCD"/>
    <w:rsid w:val="0013212C"/>
    <w:rsid w:val="00133462"/>
    <w:rsid w:val="0013371B"/>
    <w:rsid w:val="00140B0D"/>
    <w:rsid w:val="00143735"/>
    <w:rsid w:val="00153E93"/>
    <w:rsid w:val="00166F85"/>
    <w:rsid w:val="001773B2"/>
    <w:rsid w:val="001825B2"/>
    <w:rsid w:val="00186F69"/>
    <w:rsid w:val="001879D1"/>
    <w:rsid w:val="00191250"/>
    <w:rsid w:val="001A16A2"/>
    <w:rsid w:val="001D0FB8"/>
    <w:rsid w:val="001F3F0A"/>
    <w:rsid w:val="00204AE5"/>
    <w:rsid w:val="00204EA7"/>
    <w:rsid w:val="0023101A"/>
    <w:rsid w:val="00236C8E"/>
    <w:rsid w:val="00264D0E"/>
    <w:rsid w:val="00265081"/>
    <w:rsid w:val="002822B7"/>
    <w:rsid w:val="0028652D"/>
    <w:rsid w:val="00291BD8"/>
    <w:rsid w:val="002B633B"/>
    <w:rsid w:val="002C2AD2"/>
    <w:rsid w:val="002D4CDD"/>
    <w:rsid w:val="002D6D73"/>
    <w:rsid w:val="002E1AF6"/>
    <w:rsid w:val="002F50D4"/>
    <w:rsid w:val="003006A6"/>
    <w:rsid w:val="00311C52"/>
    <w:rsid w:val="00315E01"/>
    <w:rsid w:val="003163EC"/>
    <w:rsid w:val="00322E87"/>
    <w:rsid w:val="003409FD"/>
    <w:rsid w:val="003420C2"/>
    <w:rsid w:val="0034249D"/>
    <w:rsid w:val="00345AC5"/>
    <w:rsid w:val="003749DF"/>
    <w:rsid w:val="003773C5"/>
    <w:rsid w:val="00390245"/>
    <w:rsid w:val="00394538"/>
    <w:rsid w:val="0039593D"/>
    <w:rsid w:val="003A3829"/>
    <w:rsid w:val="003A3D20"/>
    <w:rsid w:val="003C3CD3"/>
    <w:rsid w:val="003C696E"/>
    <w:rsid w:val="003D4A0F"/>
    <w:rsid w:val="003E344A"/>
    <w:rsid w:val="003E7611"/>
    <w:rsid w:val="003F1839"/>
    <w:rsid w:val="0040051A"/>
    <w:rsid w:val="0040440C"/>
    <w:rsid w:val="00416ED8"/>
    <w:rsid w:val="00421607"/>
    <w:rsid w:val="004216F8"/>
    <w:rsid w:val="004271D7"/>
    <w:rsid w:val="00430AEE"/>
    <w:rsid w:val="00436332"/>
    <w:rsid w:val="00462FF2"/>
    <w:rsid w:val="004664FD"/>
    <w:rsid w:val="0047122A"/>
    <w:rsid w:val="004861A8"/>
    <w:rsid w:val="00486890"/>
    <w:rsid w:val="004B6E8F"/>
    <w:rsid w:val="004C5779"/>
    <w:rsid w:val="004E128D"/>
    <w:rsid w:val="004E49D2"/>
    <w:rsid w:val="004F038F"/>
    <w:rsid w:val="005111C0"/>
    <w:rsid w:val="00523E2F"/>
    <w:rsid w:val="00526DD6"/>
    <w:rsid w:val="005304E2"/>
    <w:rsid w:val="00537AEA"/>
    <w:rsid w:val="005479FB"/>
    <w:rsid w:val="00552C76"/>
    <w:rsid w:val="005536F0"/>
    <w:rsid w:val="0055456A"/>
    <w:rsid w:val="00555221"/>
    <w:rsid w:val="005605C7"/>
    <w:rsid w:val="00577B68"/>
    <w:rsid w:val="00586093"/>
    <w:rsid w:val="005A0073"/>
    <w:rsid w:val="005B13D2"/>
    <w:rsid w:val="005D00CA"/>
    <w:rsid w:val="005E47E7"/>
    <w:rsid w:val="00600CCA"/>
    <w:rsid w:val="00603F42"/>
    <w:rsid w:val="00604838"/>
    <w:rsid w:val="00610B28"/>
    <w:rsid w:val="006233CD"/>
    <w:rsid w:val="00626FAD"/>
    <w:rsid w:val="006309F4"/>
    <w:rsid w:val="0063146C"/>
    <w:rsid w:val="00635C4D"/>
    <w:rsid w:val="00647FAE"/>
    <w:rsid w:val="0066072D"/>
    <w:rsid w:val="0066231C"/>
    <w:rsid w:val="006634AA"/>
    <w:rsid w:val="006640D0"/>
    <w:rsid w:val="00670E0F"/>
    <w:rsid w:val="00672948"/>
    <w:rsid w:val="00677107"/>
    <w:rsid w:val="006775EF"/>
    <w:rsid w:val="00687F90"/>
    <w:rsid w:val="006979BE"/>
    <w:rsid w:val="006A20C9"/>
    <w:rsid w:val="006A6936"/>
    <w:rsid w:val="006A75F0"/>
    <w:rsid w:val="006E3156"/>
    <w:rsid w:val="00702666"/>
    <w:rsid w:val="007124C3"/>
    <w:rsid w:val="00717051"/>
    <w:rsid w:val="00726CEF"/>
    <w:rsid w:val="007273FC"/>
    <w:rsid w:val="0073415B"/>
    <w:rsid w:val="00740A21"/>
    <w:rsid w:val="007419BB"/>
    <w:rsid w:val="00751B4A"/>
    <w:rsid w:val="007713A7"/>
    <w:rsid w:val="00782523"/>
    <w:rsid w:val="007B52AF"/>
    <w:rsid w:val="007B668E"/>
    <w:rsid w:val="007B6D37"/>
    <w:rsid w:val="007D26FB"/>
    <w:rsid w:val="007D5FDE"/>
    <w:rsid w:val="007E236E"/>
    <w:rsid w:val="007E52D4"/>
    <w:rsid w:val="00811AD7"/>
    <w:rsid w:val="00821BDC"/>
    <w:rsid w:val="00835123"/>
    <w:rsid w:val="00836465"/>
    <w:rsid w:val="008458CF"/>
    <w:rsid w:val="00846BFB"/>
    <w:rsid w:val="00856019"/>
    <w:rsid w:val="00866D82"/>
    <w:rsid w:val="00867863"/>
    <w:rsid w:val="00890BDB"/>
    <w:rsid w:val="0089595C"/>
    <w:rsid w:val="008A13A6"/>
    <w:rsid w:val="008A6E0E"/>
    <w:rsid w:val="008C4CAF"/>
    <w:rsid w:val="008D63C6"/>
    <w:rsid w:val="008E6AE2"/>
    <w:rsid w:val="008F4E32"/>
    <w:rsid w:val="008F50DF"/>
    <w:rsid w:val="008F5C3A"/>
    <w:rsid w:val="009220AF"/>
    <w:rsid w:val="00923712"/>
    <w:rsid w:val="009249DE"/>
    <w:rsid w:val="00927F77"/>
    <w:rsid w:val="009524C2"/>
    <w:rsid w:val="00960390"/>
    <w:rsid w:val="00976904"/>
    <w:rsid w:val="00986C5A"/>
    <w:rsid w:val="00990092"/>
    <w:rsid w:val="009A1F5F"/>
    <w:rsid w:val="009A268C"/>
    <w:rsid w:val="009B437D"/>
    <w:rsid w:val="009C5CF4"/>
    <w:rsid w:val="009D5B3A"/>
    <w:rsid w:val="009E18C9"/>
    <w:rsid w:val="00A06195"/>
    <w:rsid w:val="00A1440A"/>
    <w:rsid w:val="00A27AE2"/>
    <w:rsid w:val="00A42333"/>
    <w:rsid w:val="00A448DA"/>
    <w:rsid w:val="00A73CD1"/>
    <w:rsid w:val="00A74A2D"/>
    <w:rsid w:val="00A91435"/>
    <w:rsid w:val="00A96738"/>
    <w:rsid w:val="00AA3D33"/>
    <w:rsid w:val="00AA45FE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74342"/>
    <w:rsid w:val="00B82AA1"/>
    <w:rsid w:val="00B86D1F"/>
    <w:rsid w:val="00B93445"/>
    <w:rsid w:val="00BA2DBA"/>
    <w:rsid w:val="00BA4508"/>
    <w:rsid w:val="00BB2667"/>
    <w:rsid w:val="00BC45DB"/>
    <w:rsid w:val="00BC5EB2"/>
    <w:rsid w:val="00BD0510"/>
    <w:rsid w:val="00BD6410"/>
    <w:rsid w:val="00BE59A8"/>
    <w:rsid w:val="00BE7775"/>
    <w:rsid w:val="00BF3704"/>
    <w:rsid w:val="00C30928"/>
    <w:rsid w:val="00C30CE5"/>
    <w:rsid w:val="00C31DC2"/>
    <w:rsid w:val="00C554EC"/>
    <w:rsid w:val="00C56DB0"/>
    <w:rsid w:val="00C56E20"/>
    <w:rsid w:val="00C83F5C"/>
    <w:rsid w:val="00CA4D89"/>
    <w:rsid w:val="00CB7B83"/>
    <w:rsid w:val="00CC19B5"/>
    <w:rsid w:val="00CC24D7"/>
    <w:rsid w:val="00CD278B"/>
    <w:rsid w:val="00CE17B0"/>
    <w:rsid w:val="00CE7FDB"/>
    <w:rsid w:val="00D116FD"/>
    <w:rsid w:val="00D20165"/>
    <w:rsid w:val="00D206C3"/>
    <w:rsid w:val="00D238CC"/>
    <w:rsid w:val="00D30FE2"/>
    <w:rsid w:val="00D33767"/>
    <w:rsid w:val="00D3585E"/>
    <w:rsid w:val="00D42F41"/>
    <w:rsid w:val="00D46296"/>
    <w:rsid w:val="00D505A2"/>
    <w:rsid w:val="00D61450"/>
    <w:rsid w:val="00D72B80"/>
    <w:rsid w:val="00D84FAD"/>
    <w:rsid w:val="00D93BA4"/>
    <w:rsid w:val="00D946BF"/>
    <w:rsid w:val="00D95D7F"/>
    <w:rsid w:val="00DB24DC"/>
    <w:rsid w:val="00DB2F00"/>
    <w:rsid w:val="00DB40AF"/>
    <w:rsid w:val="00DB566A"/>
    <w:rsid w:val="00DB651F"/>
    <w:rsid w:val="00DC0CBB"/>
    <w:rsid w:val="00DD1743"/>
    <w:rsid w:val="00DD1CA3"/>
    <w:rsid w:val="00DD6871"/>
    <w:rsid w:val="00DE6113"/>
    <w:rsid w:val="00DF2592"/>
    <w:rsid w:val="00DF403E"/>
    <w:rsid w:val="00DF51FF"/>
    <w:rsid w:val="00E22101"/>
    <w:rsid w:val="00E24C8E"/>
    <w:rsid w:val="00E45626"/>
    <w:rsid w:val="00E52F93"/>
    <w:rsid w:val="00E54A54"/>
    <w:rsid w:val="00E54CBE"/>
    <w:rsid w:val="00E67710"/>
    <w:rsid w:val="00E74914"/>
    <w:rsid w:val="00E76EED"/>
    <w:rsid w:val="00E91751"/>
    <w:rsid w:val="00EA120E"/>
    <w:rsid w:val="00EA1BA1"/>
    <w:rsid w:val="00EB5C70"/>
    <w:rsid w:val="00EE7993"/>
    <w:rsid w:val="00EF1B16"/>
    <w:rsid w:val="00F03A07"/>
    <w:rsid w:val="00F0630D"/>
    <w:rsid w:val="00F11662"/>
    <w:rsid w:val="00F12A62"/>
    <w:rsid w:val="00F24548"/>
    <w:rsid w:val="00F2659C"/>
    <w:rsid w:val="00F51D5A"/>
    <w:rsid w:val="00F53E80"/>
    <w:rsid w:val="00F57C18"/>
    <w:rsid w:val="00F76D8C"/>
    <w:rsid w:val="00F939AF"/>
    <w:rsid w:val="00F94B17"/>
    <w:rsid w:val="00FA3BF6"/>
    <w:rsid w:val="00FB3184"/>
    <w:rsid w:val="00FE0C44"/>
    <w:rsid w:val="00FF055C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fb86.com/index/News/detail/newsid/7083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575.html" TargetMode="External"/><Relationship Id="rId17" Type="http://schemas.openxmlformats.org/officeDocument/2006/relationships/hyperlink" Target="http://ssfb86.com/index/News/detail/newsid/25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sfb86.com/index/News/detail/newsid/250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708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sfb86.com/index/News/detail/newsid/2508.html" TargetMode="External"/><Relationship Id="rId10" Type="http://schemas.openxmlformats.org/officeDocument/2006/relationships/hyperlink" Target="http://ssfb86.com/index/News/detail/newsid/575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575.html" TargetMode="External"/><Relationship Id="rId14" Type="http://schemas.openxmlformats.org/officeDocument/2006/relationships/hyperlink" Target="http://ssfb86.com/index/News/detail/newsid/210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FA76-0AB9-448E-AB7E-D0486CA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7</cp:revision>
  <dcterms:created xsi:type="dcterms:W3CDTF">2020-07-07T07:43:00Z</dcterms:created>
  <dcterms:modified xsi:type="dcterms:W3CDTF">2020-10-13T09:53:00Z</dcterms:modified>
</cp:coreProperties>
</file>