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24A48C98"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BB44C6">
        <w:rPr>
          <w:rFonts w:asciiTheme="minorEastAsia" w:hAnsiTheme="minorEastAsia"/>
          <w:sz w:val="44"/>
          <w:szCs w:val="44"/>
        </w:rPr>
        <w:t>2.</w:t>
      </w:r>
      <w:r w:rsidR="002D59AA">
        <w:rPr>
          <w:rFonts w:asciiTheme="minorEastAsia" w:hAnsiTheme="minorEastAsia"/>
          <w:sz w:val="44"/>
          <w:szCs w:val="44"/>
        </w:rPr>
        <w:t>2.</w:t>
      </w:r>
      <w:r w:rsidR="00B029D4">
        <w:rPr>
          <w:rFonts w:asciiTheme="minorEastAsia" w:hAnsiTheme="minorEastAsia"/>
          <w:sz w:val="44"/>
          <w:szCs w:val="44"/>
        </w:rPr>
        <w:t>3</w:t>
      </w:r>
      <w:r w:rsidR="008D63C6" w:rsidRPr="00740A21">
        <w:rPr>
          <w:rFonts w:asciiTheme="minorEastAsia" w:hAnsiTheme="minorEastAsia"/>
          <w:sz w:val="44"/>
          <w:szCs w:val="44"/>
        </w:rPr>
        <w:t xml:space="preserve">  </w:t>
      </w:r>
      <w:r w:rsidR="00B029D4" w:rsidRPr="00B029D4">
        <w:rPr>
          <w:rFonts w:asciiTheme="minorEastAsia" w:hAnsiTheme="minorEastAsia" w:hint="eastAsia"/>
          <w:sz w:val="44"/>
          <w:szCs w:val="44"/>
        </w:rPr>
        <w:t>建筑业跨区经营汇总纳税</w:t>
      </w:r>
    </w:p>
    <w:p w14:paraId="59E62BD6" w14:textId="6E2C9CA3" w:rsidR="00B029D4" w:rsidRDefault="00B029D4" w:rsidP="009669F6">
      <w:pPr>
        <w:spacing w:beforeLines="50" w:before="156" w:line="480" w:lineRule="atLeast"/>
        <w:ind w:firstLineChars="200" w:firstLine="480"/>
        <w:rPr>
          <w:rFonts w:asciiTheme="minorEastAsia" w:hAnsiTheme="minorEastAsia"/>
          <w:color w:val="000000" w:themeColor="text1"/>
          <w:sz w:val="24"/>
          <w:szCs w:val="24"/>
        </w:rPr>
      </w:pPr>
    </w:p>
    <w:p w14:paraId="02DF224D" w14:textId="43A49526" w:rsidR="002823CB" w:rsidRPr="00123DAD" w:rsidRDefault="00123DAD" w:rsidP="00123DAD">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123DAD">
        <w:rPr>
          <w:rFonts w:hint="eastAsia"/>
          <w:color w:val="333333"/>
          <w:sz w:val="24"/>
          <w:szCs w:val="24"/>
          <w:shd w:val="clear" w:color="auto" w:fill="FFFFFF"/>
        </w:rPr>
        <w:t>为加强对跨地区（指跨省、自治区、直辖市和计划单列市，下同）经营建筑企业所得税的征收管理，根据《</w:t>
      </w:r>
      <w:hyperlink r:id="rId9" w:tgtFrame="_self" w:history="1">
        <w:r w:rsidRPr="00123DAD">
          <w:rPr>
            <w:rFonts w:hint="eastAsia"/>
            <w:color w:val="6E6E6E"/>
            <w:sz w:val="24"/>
            <w:szCs w:val="24"/>
            <w:u w:val="single"/>
            <w:shd w:val="clear" w:color="auto" w:fill="FFFFFF"/>
          </w:rPr>
          <w:t>中华人民共和国企业所得税法</w:t>
        </w:r>
      </w:hyperlink>
      <w:r w:rsidRPr="00123DAD">
        <w:rPr>
          <w:rFonts w:hint="eastAsia"/>
          <w:color w:val="333333"/>
          <w:sz w:val="24"/>
          <w:szCs w:val="24"/>
          <w:shd w:val="clear" w:color="auto" w:fill="FFFFFF"/>
        </w:rPr>
        <w:t>》及其</w:t>
      </w:r>
      <w:hyperlink r:id="rId10" w:tgtFrame="_self" w:history="1">
        <w:r w:rsidRPr="00123DAD">
          <w:rPr>
            <w:rFonts w:hint="eastAsia"/>
            <w:color w:val="6E6E6E"/>
            <w:sz w:val="24"/>
            <w:szCs w:val="24"/>
            <w:u w:val="single"/>
            <w:shd w:val="clear" w:color="auto" w:fill="FFFFFF"/>
          </w:rPr>
          <w:t>实施条例</w:t>
        </w:r>
      </w:hyperlink>
      <w:r w:rsidRPr="00123DAD">
        <w:rPr>
          <w:rFonts w:hint="eastAsia"/>
          <w:color w:val="333333"/>
          <w:sz w:val="24"/>
          <w:szCs w:val="24"/>
          <w:shd w:val="clear" w:color="auto" w:fill="FFFFFF"/>
        </w:rPr>
        <w:t>、《</w:t>
      </w:r>
      <w:hyperlink r:id="rId11" w:tgtFrame="_self" w:history="1">
        <w:r w:rsidRPr="00123DAD">
          <w:rPr>
            <w:rFonts w:hint="eastAsia"/>
            <w:color w:val="6E6E6E"/>
            <w:sz w:val="24"/>
            <w:szCs w:val="24"/>
            <w:u w:val="single"/>
            <w:shd w:val="clear" w:color="auto" w:fill="FFFFFF"/>
          </w:rPr>
          <w:t>中华人民共和国税收征收管理法</w:t>
        </w:r>
      </w:hyperlink>
      <w:r w:rsidRPr="00123DAD">
        <w:rPr>
          <w:rFonts w:hint="eastAsia"/>
          <w:color w:val="333333"/>
          <w:sz w:val="24"/>
          <w:szCs w:val="24"/>
          <w:shd w:val="clear" w:color="auto" w:fill="FFFFFF"/>
        </w:rPr>
        <w:t>》及其</w:t>
      </w:r>
      <w:hyperlink r:id="rId12" w:tgtFrame="_self" w:history="1">
        <w:r w:rsidRPr="00123DAD">
          <w:rPr>
            <w:rFonts w:hint="eastAsia"/>
            <w:color w:val="6E6E6E"/>
            <w:sz w:val="24"/>
            <w:szCs w:val="24"/>
            <w:u w:val="single"/>
            <w:shd w:val="clear" w:color="auto" w:fill="FFFFFF"/>
          </w:rPr>
          <w:t>实施细则</w:t>
        </w:r>
      </w:hyperlink>
      <w:r w:rsidRPr="00123DAD">
        <w:rPr>
          <w:rFonts w:hint="eastAsia"/>
          <w:color w:val="333333"/>
          <w:sz w:val="24"/>
          <w:szCs w:val="24"/>
          <w:shd w:val="clear" w:color="auto" w:fill="FFFFFF"/>
        </w:rPr>
        <w:t>、《国家税务总局关于印发〈跨地区经营汇总纳税企业所得税征收管理暂行办法〉的通知》（</w:t>
      </w:r>
      <w:hyperlink r:id="rId13" w:tgtFrame="_self" w:history="1">
        <w:r w:rsidRPr="00123DAD">
          <w:rPr>
            <w:rFonts w:hint="eastAsia"/>
            <w:color w:val="6E6E6E"/>
            <w:sz w:val="24"/>
            <w:szCs w:val="24"/>
            <w:u w:val="single"/>
            <w:shd w:val="clear" w:color="auto" w:fill="FFFFFF"/>
          </w:rPr>
          <w:t>国税发〔</w:t>
        </w:r>
        <w:r w:rsidRPr="00123DAD">
          <w:rPr>
            <w:rFonts w:hint="eastAsia"/>
            <w:color w:val="6E6E6E"/>
            <w:sz w:val="24"/>
            <w:szCs w:val="24"/>
            <w:u w:val="single"/>
            <w:shd w:val="clear" w:color="auto" w:fill="FFFFFF"/>
          </w:rPr>
          <w:t>2008</w:t>
        </w:r>
        <w:r w:rsidRPr="00123DAD">
          <w:rPr>
            <w:rFonts w:hint="eastAsia"/>
            <w:color w:val="6E6E6E"/>
            <w:sz w:val="24"/>
            <w:szCs w:val="24"/>
            <w:u w:val="single"/>
            <w:shd w:val="clear" w:color="auto" w:fill="FFFFFF"/>
          </w:rPr>
          <w:t>〕</w:t>
        </w:r>
        <w:r w:rsidRPr="00123DAD">
          <w:rPr>
            <w:rFonts w:hint="eastAsia"/>
            <w:color w:val="6E6E6E"/>
            <w:sz w:val="24"/>
            <w:szCs w:val="24"/>
            <w:u w:val="single"/>
            <w:shd w:val="clear" w:color="auto" w:fill="FFFFFF"/>
          </w:rPr>
          <w:t>28</w:t>
        </w:r>
        <w:r w:rsidRPr="00123DAD">
          <w:rPr>
            <w:rFonts w:hint="eastAsia"/>
            <w:color w:val="6E6E6E"/>
            <w:sz w:val="24"/>
            <w:szCs w:val="24"/>
            <w:u w:val="single"/>
            <w:shd w:val="clear" w:color="auto" w:fill="FFFFFF"/>
          </w:rPr>
          <w:t>号</w:t>
        </w:r>
      </w:hyperlink>
      <w:r w:rsidRPr="00123DAD">
        <w:rPr>
          <w:rFonts w:hint="eastAsia"/>
          <w:color w:val="333333"/>
          <w:sz w:val="24"/>
          <w:szCs w:val="24"/>
          <w:shd w:val="clear" w:color="auto" w:fill="FFFFFF"/>
        </w:rPr>
        <w:t>）的规定，现对跨地区经营建筑企业所得税征收管理问题通知如下：</w:t>
      </w:r>
    </w:p>
    <w:p w14:paraId="4533A4EF" w14:textId="77777777" w:rsidR="002823CB" w:rsidRPr="002823CB" w:rsidRDefault="002823CB" w:rsidP="002823CB">
      <w:pPr>
        <w:pStyle w:val="1"/>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一、总体原则</w:t>
      </w:r>
    </w:p>
    <w:p w14:paraId="694B512C" w14:textId="29A997B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实行总分机构体制的跨地区经营建筑企业应严格执行</w:t>
      </w:r>
      <w:hyperlink r:id="rId14" w:history="1">
        <w:r w:rsidRPr="00123DAD">
          <w:rPr>
            <w:rStyle w:val="a6"/>
            <w:rFonts w:ascii="宋体" w:eastAsia="宋体" w:hAnsi="宋体" w:cs="宋体" w:hint="eastAsia"/>
            <w:kern w:val="0"/>
            <w:sz w:val="24"/>
            <w:szCs w:val="24"/>
          </w:rPr>
          <w:t>国税发〔2008〕28号</w:t>
        </w:r>
      </w:hyperlink>
      <w:r w:rsidRPr="002823CB">
        <w:rPr>
          <w:rFonts w:ascii="宋体" w:eastAsia="宋体" w:hAnsi="宋体" w:cs="宋体" w:hint="eastAsia"/>
          <w:color w:val="000000" w:themeColor="text1"/>
          <w:kern w:val="0"/>
          <w:sz w:val="24"/>
          <w:szCs w:val="24"/>
        </w:rPr>
        <w:t>文件规定，按照“统一计算，分级管理，就地预缴，汇总清算，财政调库”的办法计算缴纳企业所得税。</w:t>
      </w:r>
    </w:p>
    <w:p w14:paraId="0975E87E" w14:textId="486DECDD" w:rsidR="002823CB" w:rsidRPr="002823CB" w:rsidRDefault="002823CB"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bookmarkStart w:id="0" w:name="_Hlk5999857"/>
      <w:r w:rsidRPr="002823CB">
        <w:rPr>
          <w:rFonts w:ascii="宋体" w:eastAsia="宋体" w:hAnsi="宋体" w:hint="eastAsia"/>
          <w:color w:val="000000" w:themeColor="text1"/>
          <w:sz w:val="24"/>
          <w:szCs w:val="24"/>
          <w:shd w:val="clear" w:color="auto" w:fill="FFFFFF"/>
        </w:rPr>
        <w:t>（</w:t>
      </w:r>
      <w:hyperlink r:id="rId15" w:history="1">
        <w:r w:rsidRPr="00123DAD">
          <w:rPr>
            <w:rStyle w:val="a6"/>
            <w:rFonts w:ascii="宋体" w:eastAsia="宋体" w:hAnsi="宋体" w:hint="eastAsia"/>
            <w:sz w:val="24"/>
            <w:szCs w:val="24"/>
            <w:shd w:val="clear" w:color="auto" w:fill="FFFFFF"/>
          </w:rPr>
          <w:t>国税函[2010]156号</w:t>
        </w:r>
      </w:hyperlink>
      <w:r w:rsidRPr="002823CB">
        <w:rPr>
          <w:rFonts w:ascii="宋体" w:eastAsia="宋体" w:hAnsi="宋体" w:hint="eastAsia"/>
          <w:color w:val="000000" w:themeColor="text1"/>
          <w:sz w:val="24"/>
          <w:szCs w:val="24"/>
          <w:shd w:val="clear" w:color="auto" w:fill="FFFFFF"/>
        </w:rPr>
        <w:t>第一条）</w:t>
      </w:r>
    </w:p>
    <w:bookmarkEnd w:id="0"/>
    <w:p w14:paraId="0B64E5A5" w14:textId="77777777" w:rsidR="002823CB" w:rsidRPr="002823CB" w:rsidRDefault="002823CB" w:rsidP="002823CB">
      <w:pPr>
        <w:pStyle w:val="1"/>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二、项目部的企业所得税处理</w:t>
      </w:r>
    </w:p>
    <w:p w14:paraId="38CAA370" w14:textId="77777777" w:rsidR="002823CB" w:rsidRPr="002823CB" w:rsidRDefault="002823CB" w:rsidP="002823CB">
      <w:pPr>
        <w:pStyle w:val="2"/>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（一）未办理跨区经营报验的</w:t>
      </w:r>
    </w:p>
    <w:p w14:paraId="50ECD7E1"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跨地区经营的项目部（包括二级以下分支机构管理的项目部）应向项目所在地主管税务机关出具总机构所在地主管税务机关开具的</w:t>
      </w:r>
      <w:r w:rsidRPr="002823CB">
        <w:rPr>
          <w:rFonts w:ascii="宋体" w:eastAsia="宋体" w:hAnsi="宋体" w:cs="宋体" w:hint="eastAsia"/>
          <w:i/>
          <w:iCs/>
          <w:color w:val="000000" w:themeColor="text1"/>
          <w:kern w:val="0"/>
          <w:sz w:val="24"/>
          <w:szCs w:val="24"/>
        </w:rPr>
        <w:t>《外出经营活动税收管理证明》</w:t>
      </w:r>
      <w:r w:rsidRPr="002823CB">
        <w:rPr>
          <w:rFonts w:ascii="宋体" w:eastAsia="宋体" w:hAnsi="宋体" w:cs="宋体" w:hint="eastAsia"/>
          <w:color w:val="000000" w:themeColor="text1"/>
          <w:kern w:val="0"/>
          <w:sz w:val="24"/>
          <w:szCs w:val="24"/>
        </w:rPr>
        <w:t>，未提供上述证明的，项目部所在地主管税务机关应督促其限期补办；不能提供上述证明的，应作为独立纳税人就地缴纳企业所得税。</w:t>
      </w:r>
    </w:p>
    <w:p w14:paraId="2922A490" w14:textId="72629F5E" w:rsidR="002823CB" w:rsidRPr="002823CB" w:rsidRDefault="00123DAD" w:rsidP="00123DAD">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16"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第六条）</w:t>
      </w:r>
    </w:p>
    <w:p w14:paraId="310FE947" w14:textId="77777777" w:rsidR="002823CB" w:rsidRPr="002823CB" w:rsidRDefault="002823CB" w:rsidP="002823CB">
      <w:pPr>
        <w:pStyle w:val="2"/>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（二）办理跨区经营报验的</w:t>
      </w:r>
    </w:p>
    <w:p w14:paraId="4A750EC7"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同时，项目部应向所在地主管税务机关提供总机构出具的证明该项目部属于总机构或二级分支机构管理的证明文件。</w:t>
      </w:r>
    </w:p>
    <w:p w14:paraId="07C4B4CC" w14:textId="383B0C8D" w:rsidR="002823CB" w:rsidRPr="002823CB" w:rsidRDefault="00123DAD" w:rsidP="00123DAD">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823CB">
        <w:rPr>
          <w:rFonts w:ascii="宋体" w:eastAsia="宋体" w:hAnsi="宋体" w:hint="eastAsia"/>
          <w:color w:val="000000" w:themeColor="text1"/>
          <w:sz w:val="24"/>
          <w:szCs w:val="24"/>
          <w:shd w:val="clear" w:color="auto" w:fill="FFFFFF"/>
        </w:rPr>
        <w:t>（</w:t>
      </w:r>
      <w:hyperlink r:id="rId17"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第六条）</w:t>
      </w:r>
    </w:p>
    <w:p w14:paraId="2058BB0C" w14:textId="77777777" w:rsidR="002823CB" w:rsidRPr="002823CB" w:rsidRDefault="002823CB" w:rsidP="002823CB">
      <w:pPr>
        <w:pStyle w:val="3"/>
        <w:spacing w:before="50" w:after="0" w:line="480" w:lineRule="atLeast"/>
        <w:rPr>
          <w:rFonts w:ascii="宋体" w:eastAsia="宋体" w:hAnsi="宋体"/>
          <w:color w:val="000000" w:themeColor="text1"/>
          <w:sz w:val="24"/>
          <w:szCs w:val="24"/>
        </w:rPr>
      </w:pPr>
      <w:r w:rsidRPr="002823CB">
        <w:rPr>
          <w:rFonts w:ascii="宋体" w:eastAsia="宋体" w:hAnsi="宋体"/>
          <w:color w:val="000000" w:themeColor="text1"/>
          <w:sz w:val="24"/>
          <w:szCs w:val="24"/>
        </w:rPr>
        <w:lastRenderedPageBreak/>
        <w:t>1.</w:t>
      </w:r>
      <w:r w:rsidRPr="002823CB">
        <w:rPr>
          <w:rFonts w:ascii="宋体" w:eastAsia="宋体" w:hAnsi="宋体" w:hint="eastAsia"/>
          <w:color w:val="000000" w:themeColor="text1"/>
          <w:sz w:val="24"/>
          <w:szCs w:val="24"/>
        </w:rPr>
        <w:t>总机构直接管理的跨地区设立的项目部</w:t>
      </w:r>
    </w:p>
    <w:p w14:paraId="070C7309"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应按项目实际经营收入的0.2%按月或按季由总机构向项目所在地预分企业所得税，并由项目部向所在地主管税务机关预缴。</w:t>
      </w:r>
    </w:p>
    <w:p w14:paraId="03A5D22D" w14:textId="387AB6F8"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18"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第三条）</w:t>
      </w:r>
    </w:p>
    <w:p w14:paraId="0B7CBAC7" w14:textId="77777777" w:rsidR="002823CB" w:rsidRPr="002823CB" w:rsidRDefault="002823CB" w:rsidP="002823CB">
      <w:pPr>
        <w:pStyle w:val="3"/>
        <w:spacing w:before="50" w:after="0" w:line="480" w:lineRule="atLeast"/>
        <w:rPr>
          <w:rFonts w:ascii="宋体" w:eastAsia="宋体" w:hAnsi="宋体"/>
          <w:color w:val="000000" w:themeColor="text1"/>
          <w:sz w:val="24"/>
          <w:szCs w:val="24"/>
        </w:rPr>
      </w:pPr>
      <w:r w:rsidRPr="002823CB">
        <w:rPr>
          <w:rStyle w:val="5Char"/>
          <w:rFonts w:ascii="宋体" w:eastAsia="宋体" w:hAnsi="宋体"/>
          <w:b/>
          <w:bCs/>
          <w:color w:val="000000" w:themeColor="text1"/>
          <w:sz w:val="24"/>
          <w:szCs w:val="24"/>
        </w:rPr>
        <w:t>2.</w:t>
      </w:r>
      <w:r w:rsidRPr="002823CB">
        <w:rPr>
          <w:rStyle w:val="5Char"/>
          <w:rFonts w:ascii="宋体" w:eastAsia="宋体" w:hAnsi="宋体" w:hint="eastAsia"/>
          <w:b/>
          <w:bCs/>
          <w:color w:val="000000" w:themeColor="text1"/>
          <w:sz w:val="24"/>
          <w:szCs w:val="24"/>
        </w:rPr>
        <w:t>二级或二级以下分支机构直接管理的项目部（包括与项目部性质相同的工程指挥部、合同段等，下同</w:t>
      </w:r>
      <w:r w:rsidRPr="002823CB">
        <w:rPr>
          <w:rFonts w:ascii="宋体" w:eastAsia="宋体" w:hAnsi="宋体" w:hint="eastAsia"/>
          <w:color w:val="000000" w:themeColor="text1"/>
          <w:sz w:val="24"/>
          <w:szCs w:val="24"/>
        </w:rPr>
        <w:t>）</w:t>
      </w:r>
    </w:p>
    <w:p w14:paraId="4B162122" w14:textId="511A4C10"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不就地预缴企业所得税，其经营收入、职工工资和资产总额应汇总到二级分支机构统一核算，由二级分支机构按照</w:t>
      </w:r>
      <w:hyperlink r:id="rId19" w:history="1">
        <w:r w:rsidR="00123DAD" w:rsidRPr="00123DAD">
          <w:rPr>
            <w:rStyle w:val="a6"/>
            <w:rFonts w:ascii="宋体" w:eastAsia="宋体" w:hAnsi="宋体" w:cs="宋体" w:hint="eastAsia"/>
            <w:kern w:val="0"/>
            <w:sz w:val="24"/>
            <w:szCs w:val="24"/>
          </w:rPr>
          <w:t>国税发〔2008〕28号</w:t>
        </w:r>
      </w:hyperlink>
      <w:r w:rsidRPr="002823CB">
        <w:rPr>
          <w:rFonts w:ascii="宋体" w:eastAsia="宋体" w:hAnsi="宋体" w:cs="宋体" w:hint="eastAsia"/>
          <w:color w:val="000000" w:themeColor="text1"/>
          <w:kern w:val="0"/>
          <w:sz w:val="24"/>
          <w:szCs w:val="24"/>
        </w:rPr>
        <w:t>文件规定的办法预缴企业所得税。</w:t>
      </w:r>
    </w:p>
    <w:p w14:paraId="2B020213" w14:textId="21E3D240"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20"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第二条）</w:t>
      </w:r>
    </w:p>
    <w:p w14:paraId="07165BE3" w14:textId="77777777" w:rsidR="002823CB" w:rsidRPr="002823CB" w:rsidRDefault="002823CB" w:rsidP="002823CB">
      <w:pPr>
        <w:pStyle w:val="1"/>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三、总机构的预缴</w:t>
      </w:r>
    </w:p>
    <w:p w14:paraId="7FCFC3CA"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建筑企业总机构应汇总计算企业应纳所得税，按照以下方法进行预缴：</w:t>
      </w:r>
    </w:p>
    <w:p w14:paraId="609722A7" w14:textId="40662FDE"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21"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第四条）</w:t>
      </w:r>
    </w:p>
    <w:p w14:paraId="21194DB1" w14:textId="77777777" w:rsidR="002823CB" w:rsidRPr="002823CB" w:rsidRDefault="002823CB" w:rsidP="002823CB">
      <w:pPr>
        <w:pStyle w:val="2"/>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（一）总机构只设跨地区项目部的</w:t>
      </w:r>
    </w:p>
    <w:p w14:paraId="62C63DCA"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扣除已由项目部预缴的企业所得税后，按照其余额就地缴纳；</w:t>
      </w:r>
    </w:p>
    <w:p w14:paraId="6A3D5AF4" w14:textId="139CC52A"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bookmarkStart w:id="1" w:name="_Hlk5999899"/>
      <w:r w:rsidRPr="002823CB">
        <w:rPr>
          <w:rFonts w:ascii="宋体" w:eastAsia="宋体" w:hAnsi="宋体" w:hint="eastAsia"/>
          <w:color w:val="000000" w:themeColor="text1"/>
          <w:sz w:val="24"/>
          <w:szCs w:val="24"/>
          <w:shd w:val="clear" w:color="auto" w:fill="FFFFFF"/>
        </w:rPr>
        <w:t>（</w:t>
      </w:r>
      <w:hyperlink r:id="rId22"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第四条第一款）</w:t>
      </w:r>
    </w:p>
    <w:bookmarkEnd w:id="1"/>
    <w:p w14:paraId="4ED7240C" w14:textId="77777777" w:rsidR="002823CB" w:rsidRPr="002823CB" w:rsidRDefault="002823CB" w:rsidP="002823CB">
      <w:pPr>
        <w:pStyle w:val="2"/>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（二）总机构只设二级分支机构的</w:t>
      </w:r>
    </w:p>
    <w:p w14:paraId="2E8EBF4B" w14:textId="7F9D3DE5"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按照</w:t>
      </w:r>
      <w:hyperlink r:id="rId23" w:history="1">
        <w:r w:rsidR="00123DAD" w:rsidRPr="00123DAD">
          <w:rPr>
            <w:rStyle w:val="a6"/>
            <w:rFonts w:ascii="宋体" w:eastAsia="宋体" w:hAnsi="宋体" w:cs="宋体" w:hint="eastAsia"/>
            <w:kern w:val="0"/>
            <w:sz w:val="24"/>
            <w:szCs w:val="24"/>
          </w:rPr>
          <w:t>国税发〔2008〕28号</w:t>
        </w:r>
      </w:hyperlink>
      <w:r w:rsidRPr="002823CB">
        <w:rPr>
          <w:rFonts w:ascii="宋体" w:eastAsia="宋体" w:hAnsi="宋体" w:cs="宋体" w:hint="eastAsia"/>
          <w:color w:val="000000" w:themeColor="text1"/>
          <w:kern w:val="0"/>
          <w:sz w:val="24"/>
          <w:szCs w:val="24"/>
        </w:rPr>
        <w:t>文件规定计算总、分支机构应缴纳的税款；</w:t>
      </w:r>
    </w:p>
    <w:p w14:paraId="354D7F68" w14:textId="21C64747"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24"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第四条第二款）</w:t>
      </w:r>
    </w:p>
    <w:p w14:paraId="791D867B" w14:textId="77777777" w:rsidR="002823CB" w:rsidRPr="002823CB" w:rsidRDefault="002823CB" w:rsidP="002823CB">
      <w:pPr>
        <w:pStyle w:val="2"/>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（三）总机构既有直接管理的跨地区项目部，又有跨地区二级分支机构的</w:t>
      </w:r>
    </w:p>
    <w:p w14:paraId="7CBD0462" w14:textId="23C7C0E0"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先扣除已由项目部预缴的企业所得税后，再按照</w:t>
      </w:r>
      <w:hyperlink r:id="rId25" w:history="1">
        <w:r w:rsidR="00123DAD" w:rsidRPr="00123DAD">
          <w:rPr>
            <w:rStyle w:val="a6"/>
            <w:rFonts w:ascii="宋体" w:eastAsia="宋体" w:hAnsi="宋体" w:cs="宋体" w:hint="eastAsia"/>
            <w:kern w:val="0"/>
            <w:sz w:val="24"/>
            <w:szCs w:val="24"/>
          </w:rPr>
          <w:t>国税发〔2008〕28号</w:t>
        </w:r>
      </w:hyperlink>
      <w:r w:rsidRPr="002823CB">
        <w:rPr>
          <w:rFonts w:ascii="宋体" w:eastAsia="宋体" w:hAnsi="宋体" w:cs="宋体" w:hint="eastAsia"/>
          <w:color w:val="000000" w:themeColor="text1"/>
          <w:kern w:val="0"/>
          <w:sz w:val="24"/>
          <w:szCs w:val="24"/>
        </w:rPr>
        <w:t>文件规定计算总、分支机构应缴纳的税款。</w:t>
      </w:r>
    </w:p>
    <w:p w14:paraId="7A5E0C6C" w14:textId="40CB8210"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26"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第四条第三款）</w:t>
      </w:r>
    </w:p>
    <w:p w14:paraId="050F8FF0" w14:textId="77777777" w:rsidR="002823CB" w:rsidRPr="002823CB" w:rsidRDefault="002823CB" w:rsidP="002823CB">
      <w:pPr>
        <w:pStyle w:val="1"/>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lastRenderedPageBreak/>
        <w:t>四、总机构的汇缴</w:t>
      </w:r>
    </w:p>
    <w:p w14:paraId="411191AD"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建筑企业总机构应按照有关规定办理企业所得税年度汇算清缴，各分支机构和项目部不进行汇算清缴。总机构年终汇算清缴后应纳所得税额小于已预缴的税款时，由总机构主管税务机关办理退税或抵扣以后年度的应缴企业所得税。</w:t>
      </w:r>
    </w:p>
    <w:p w14:paraId="5A0E691F" w14:textId="513CBCC9"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bookmarkStart w:id="2" w:name="_Hlk5999934"/>
      <w:r w:rsidRPr="002823CB">
        <w:rPr>
          <w:rFonts w:ascii="宋体" w:eastAsia="宋体" w:hAnsi="宋体" w:hint="eastAsia"/>
          <w:color w:val="000000" w:themeColor="text1"/>
          <w:sz w:val="24"/>
          <w:szCs w:val="24"/>
          <w:shd w:val="clear" w:color="auto" w:fill="FFFFFF"/>
        </w:rPr>
        <w:t>（</w:t>
      </w:r>
      <w:hyperlink r:id="rId27"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第五条）</w:t>
      </w:r>
    </w:p>
    <w:bookmarkEnd w:id="2"/>
    <w:p w14:paraId="75E3AAD7"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建筑企业总机构在办理企业所得税预缴和汇算清缴时，应附送其所直接管理的跨地区经营项目部就地预缴税款的完税证明。</w:t>
      </w:r>
    </w:p>
    <w:p w14:paraId="3A1DFF7A" w14:textId="325BACA3"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28"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第七条）</w:t>
      </w:r>
    </w:p>
    <w:p w14:paraId="2BDED173" w14:textId="77777777" w:rsidR="002823CB" w:rsidRPr="002823CB" w:rsidRDefault="002823CB" w:rsidP="002823CB">
      <w:pPr>
        <w:pStyle w:val="1"/>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五、执行日期</w:t>
      </w:r>
    </w:p>
    <w:p w14:paraId="1E15F25C"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本通知自2010年1月1日起施行。</w:t>
      </w:r>
    </w:p>
    <w:p w14:paraId="4AFF7522" w14:textId="08D82744"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29"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第九条）</w:t>
      </w:r>
    </w:p>
    <w:p w14:paraId="453D7EA8" w14:textId="77777777" w:rsidR="002823CB" w:rsidRPr="002823CB" w:rsidRDefault="002823CB" w:rsidP="002823CB">
      <w:pPr>
        <w:pStyle w:val="1"/>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六、其他</w:t>
      </w:r>
    </w:p>
    <w:p w14:paraId="6330BCAF"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建筑企业在同一省、自治区、直辖市和计划单列市设立的跨地（市、县）项目部，其企业所得税的征收管理办法，由各省、自治区、直辖市和计划单列市国家税务局、地方税务局共同制定，并报国家税务总局备案。</w:t>
      </w:r>
    </w:p>
    <w:p w14:paraId="5FC3749E" w14:textId="28142158" w:rsidR="002823CB" w:rsidRPr="002823CB" w:rsidRDefault="00123DAD"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30" w:history="1">
        <w:r w:rsidRPr="00123DAD">
          <w:rPr>
            <w:rStyle w:val="a6"/>
            <w:rFonts w:ascii="宋体" w:eastAsia="宋体" w:hAnsi="宋体" w:hint="eastAsia"/>
            <w:sz w:val="24"/>
            <w:szCs w:val="24"/>
            <w:shd w:val="clear" w:color="auto" w:fill="FFFFFF"/>
          </w:rPr>
          <w:t>国税函[2010]156号</w:t>
        </w:r>
      </w:hyperlink>
      <w:r w:rsidR="002823CB" w:rsidRPr="002823CB">
        <w:rPr>
          <w:rFonts w:ascii="宋体" w:eastAsia="宋体" w:hAnsi="宋体" w:hint="eastAsia"/>
          <w:color w:val="000000" w:themeColor="text1"/>
          <w:sz w:val="24"/>
          <w:szCs w:val="24"/>
          <w:shd w:val="clear" w:color="auto" w:fill="FFFFFF"/>
        </w:rPr>
        <w:t>第八条）</w:t>
      </w:r>
    </w:p>
    <w:p w14:paraId="685DB294" w14:textId="77777777" w:rsidR="002823CB" w:rsidRPr="002823CB" w:rsidRDefault="002823CB" w:rsidP="002823CB">
      <w:pPr>
        <w:pStyle w:val="a5"/>
        <w:shd w:val="clear" w:color="auto" w:fill="FFFFFF"/>
        <w:spacing w:beforeLines="50" w:before="156" w:beforeAutospacing="0" w:after="0" w:afterAutospacing="0" w:line="480" w:lineRule="atLeast"/>
        <w:ind w:firstLineChars="200" w:firstLine="480"/>
        <w:jc w:val="right"/>
        <w:rPr>
          <w:color w:val="000000" w:themeColor="text1"/>
        </w:rPr>
      </w:pPr>
    </w:p>
    <w:p w14:paraId="6D98C828" w14:textId="77777777" w:rsidR="002823CB" w:rsidRPr="002823CB" w:rsidRDefault="002823CB" w:rsidP="002823CB">
      <w:pPr>
        <w:pStyle w:val="1"/>
        <w:spacing w:before="50" w:after="0" w:line="480" w:lineRule="atLeast"/>
        <w:rPr>
          <w:rFonts w:ascii="宋体" w:eastAsia="宋体" w:hAnsi="宋体"/>
          <w:color w:val="000000" w:themeColor="text1"/>
          <w:sz w:val="24"/>
          <w:szCs w:val="24"/>
        </w:rPr>
      </w:pPr>
      <w:bookmarkStart w:id="3" w:name="_Hlk4262046"/>
      <w:r w:rsidRPr="002823CB">
        <w:rPr>
          <w:rFonts w:ascii="宋体" w:eastAsia="宋体" w:hAnsi="宋体" w:hint="eastAsia"/>
          <w:color w:val="000000" w:themeColor="text1"/>
          <w:sz w:val="24"/>
          <w:szCs w:val="24"/>
        </w:rPr>
        <w:t>附注：</w:t>
      </w:r>
      <w:r w:rsidRPr="002823CB">
        <w:rPr>
          <w:rFonts w:ascii="宋体" w:eastAsia="宋体" w:hAnsi="宋体" w:hint="eastAsia"/>
          <w:color w:val="000000" w:themeColor="text1"/>
          <w:sz w:val="24"/>
          <w:szCs w:val="24"/>
          <w:shd w:val="clear" w:color="auto" w:fill="FFFFFF"/>
        </w:rPr>
        <w:t>关于青海大柴旦矿业有限公司的外国投资者享受税收协定优惠税率的批复</w:t>
      </w:r>
      <w:bookmarkEnd w:id="3"/>
    </w:p>
    <w:p w14:paraId="1943920E" w14:textId="716F4A24" w:rsidR="002823CB" w:rsidRPr="002823CB" w:rsidRDefault="002823CB" w:rsidP="002823CB">
      <w:pPr>
        <w:pStyle w:val="2"/>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（一）案件基本情况</w:t>
      </w:r>
    </w:p>
    <w:p w14:paraId="5046EFBD"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青海大柴旦矿业有限公司（以下简称大柴旦公司）在青海省海西州注册,是一家从事黄金开采业务的中外合作企业，外方股东TJS 有限公司（以下简称TJS公司）持股90%，中方股东持股10%。TJS公司是一家注册于巴巴多斯的国际商务公司，其直接股东是埃尔拉多黄金（巴巴多斯）公司（以下简称EB公司），最终股东是加拿大的埃尔拉多黄金公司（以下简称埃尔拉多公司）。</w:t>
      </w:r>
    </w:p>
    <w:p w14:paraId="4C67F888"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lastRenderedPageBreak/>
        <w:t>埃尔拉多公司通过其加拿大全资子公司阿富坎矿业公司100%持有EB公司，从而成为TJS公司的最终股东。</w:t>
      </w:r>
    </w:p>
    <w:p w14:paraId="4BB64F33"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2011年，大柴旦公司宣布分配2008年度的利润2亿元，TJS公司就其取得的股息1.8亿元申请享受中国-巴巴多斯的税收协定待遇。案件的关键在于，TJS公司是否具备受益所有人身份。</w:t>
      </w:r>
    </w:p>
    <w:p w14:paraId="2C09308B" w14:textId="1B6D612F" w:rsidR="002823CB" w:rsidRPr="002823CB" w:rsidRDefault="002823CB"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bookmarkStart w:id="4" w:name="_Hlk14065828"/>
      <w:r w:rsidRPr="002823CB">
        <w:rPr>
          <w:rFonts w:ascii="宋体" w:eastAsia="宋体" w:hAnsi="宋体" w:hint="eastAsia"/>
          <w:color w:val="000000" w:themeColor="text1"/>
          <w:sz w:val="24"/>
          <w:szCs w:val="24"/>
          <w:shd w:val="clear" w:color="auto" w:fill="FFFFFF"/>
        </w:rPr>
        <w:t>（</w:t>
      </w:r>
      <w:hyperlink r:id="rId31" w:history="1">
        <w:r w:rsidRPr="00123DAD">
          <w:rPr>
            <w:rStyle w:val="a6"/>
            <w:rFonts w:ascii="宋体" w:eastAsia="宋体" w:hAnsi="宋体" w:hint="eastAsia"/>
            <w:sz w:val="24"/>
            <w:szCs w:val="24"/>
            <w:shd w:val="clear" w:color="auto" w:fill="FFFFFF"/>
          </w:rPr>
          <w:t>税总发〔2014〕70号</w:t>
        </w:r>
      </w:hyperlink>
      <w:r w:rsidRPr="002823CB">
        <w:rPr>
          <w:rFonts w:ascii="宋体" w:eastAsia="宋体" w:hAnsi="宋体" w:hint="eastAsia"/>
          <w:color w:val="000000" w:themeColor="text1"/>
          <w:sz w:val="24"/>
          <w:szCs w:val="24"/>
          <w:shd w:val="clear" w:color="auto" w:fill="FFFFFF"/>
        </w:rPr>
        <w:t>第一条）</w:t>
      </w:r>
    </w:p>
    <w:bookmarkEnd w:id="4"/>
    <w:p w14:paraId="7798163D" w14:textId="22EC5C7D" w:rsidR="002823CB" w:rsidRPr="002823CB" w:rsidRDefault="002823CB" w:rsidP="002823CB">
      <w:pPr>
        <w:pStyle w:val="2"/>
        <w:spacing w:before="50" w:after="0" w:line="480" w:lineRule="atLeast"/>
        <w:rPr>
          <w:rFonts w:ascii="宋体" w:eastAsia="宋体" w:hAnsi="宋体"/>
          <w:color w:val="000000" w:themeColor="text1"/>
          <w:sz w:val="24"/>
          <w:szCs w:val="24"/>
        </w:rPr>
      </w:pPr>
      <w:r w:rsidRPr="002823CB">
        <w:rPr>
          <w:rFonts w:ascii="宋体" w:eastAsia="宋体" w:hAnsi="宋体" w:hint="eastAsia"/>
          <w:color w:val="000000" w:themeColor="text1"/>
          <w:sz w:val="24"/>
          <w:szCs w:val="24"/>
        </w:rPr>
        <w:t>（二）TJS公司受益所有人身份的认定和结论</w:t>
      </w:r>
    </w:p>
    <w:p w14:paraId="209A28E2" w14:textId="7F1C83E8"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根据TJS公司提供的资料，以及</w:t>
      </w:r>
      <w:bookmarkStart w:id="5" w:name="_GoBack"/>
      <w:r w:rsidR="00123DAD" w:rsidRPr="00123DAD">
        <w:rPr>
          <w:rFonts w:hint="eastAsia"/>
          <w:color w:val="333333"/>
          <w:sz w:val="24"/>
          <w:szCs w:val="24"/>
          <w:shd w:val="clear" w:color="auto" w:fill="FFFFFF"/>
        </w:rPr>
        <w:t>《国家税务总局关于如何理解和认定税收协定中“受益所有人”的通知》（</w:t>
      </w:r>
      <w:hyperlink r:id="rId32" w:tgtFrame="_self" w:history="1">
        <w:r w:rsidR="00123DAD" w:rsidRPr="00123DAD">
          <w:rPr>
            <w:rFonts w:hint="eastAsia"/>
            <w:color w:val="6E6E6E"/>
            <w:sz w:val="24"/>
            <w:szCs w:val="24"/>
            <w:u w:val="single"/>
            <w:shd w:val="clear" w:color="auto" w:fill="FFFFFF"/>
          </w:rPr>
          <w:t>国税函〔</w:t>
        </w:r>
        <w:r w:rsidR="00123DAD" w:rsidRPr="00123DAD">
          <w:rPr>
            <w:rFonts w:hint="eastAsia"/>
            <w:color w:val="6E6E6E"/>
            <w:sz w:val="24"/>
            <w:szCs w:val="24"/>
            <w:u w:val="single"/>
            <w:shd w:val="clear" w:color="auto" w:fill="FFFFFF"/>
          </w:rPr>
          <w:t>2009</w:t>
        </w:r>
        <w:r w:rsidR="00123DAD" w:rsidRPr="00123DAD">
          <w:rPr>
            <w:rFonts w:hint="eastAsia"/>
            <w:color w:val="6E6E6E"/>
            <w:sz w:val="24"/>
            <w:szCs w:val="24"/>
            <w:u w:val="single"/>
            <w:shd w:val="clear" w:color="auto" w:fill="FFFFFF"/>
          </w:rPr>
          <w:t>〕</w:t>
        </w:r>
        <w:r w:rsidR="00123DAD" w:rsidRPr="00123DAD">
          <w:rPr>
            <w:rFonts w:hint="eastAsia"/>
            <w:color w:val="6E6E6E"/>
            <w:sz w:val="24"/>
            <w:szCs w:val="24"/>
            <w:u w:val="single"/>
            <w:shd w:val="clear" w:color="auto" w:fill="FFFFFF"/>
          </w:rPr>
          <w:t>601</w:t>
        </w:r>
        <w:r w:rsidR="00123DAD" w:rsidRPr="00123DAD">
          <w:rPr>
            <w:rFonts w:hint="eastAsia"/>
            <w:color w:val="6E6E6E"/>
            <w:sz w:val="24"/>
            <w:szCs w:val="24"/>
            <w:u w:val="single"/>
            <w:shd w:val="clear" w:color="auto" w:fill="FFFFFF"/>
          </w:rPr>
          <w:t>号</w:t>
        </w:r>
      </w:hyperlink>
      <w:r w:rsidR="00123DAD" w:rsidRPr="00123DAD">
        <w:rPr>
          <w:rFonts w:hint="eastAsia"/>
          <w:color w:val="333333"/>
          <w:sz w:val="24"/>
          <w:szCs w:val="24"/>
          <w:shd w:val="clear" w:color="auto" w:fill="FFFFFF"/>
        </w:rPr>
        <w:t>）和《国家税务总局关于认定税收协定中“受益所有人”的公告》（</w:t>
      </w:r>
      <w:hyperlink r:id="rId33" w:tgtFrame="_self" w:history="1">
        <w:r w:rsidR="00123DAD" w:rsidRPr="00123DAD">
          <w:rPr>
            <w:rFonts w:hint="eastAsia"/>
            <w:color w:val="6E6E6E"/>
            <w:sz w:val="24"/>
            <w:szCs w:val="24"/>
            <w:u w:val="single"/>
            <w:shd w:val="clear" w:color="auto" w:fill="FFFFFF"/>
          </w:rPr>
          <w:t>国家税务总局公告</w:t>
        </w:r>
        <w:r w:rsidR="00123DAD" w:rsidRPr="00123DAD">
          <w:rPr>
            <w:rFonts w:hint="eastAsia"/>
            <w:color w:val="6E6E6E"/>
            <w:sz w:val="24"/>
            <w:szCs w:val="24"/>
            <w:u w:val="single"/>
            <w:shd w:val="clear" w:color="auto" w:fill="FFFFFF"/>
          </w:rPr>
          <w:t>2012</w:t>
        </w:r>
        <w:r w:rsidR="00123DAD" w:rsidRPr="00123DAD">
          <w:rPr>
            <w:rFonts w:hint="eastAsia"/>
            <w:color w:val="6E6E6E"/>
            <w:sz w:val="24"/>
            <w:szCs w:val="24"/>
            <w:u w:val="single"/>
            <w:shd w:val="clear" w:color="auto" w:fill="FFFFFF"/>
          </w:rPr>
          <w:t>年第</w:t>
        </w:r>
        <w:r w:rsidR="00123DAD" w:rsidRPr="00123DAD">
          <w:rPr>
            <w:rFonts w:hint="eastAsia"/>
            <w:color w:val="6E6E6E"/>
            <w:sz w:val="24"/>
            <w:szCs w:val="24"/>
            <w:u w:val="single"/>
            <w:shd w:val="clear" w:color="auto" w:fill="FFFFFF"/>
          </w:rPr>
          <w:t>30</w:t>
        </w:r>
        <w:r w:rsidR="00123DAD" w:rsidRPr="00123DAD">
          <w:rPr>
            <w:rFonts w:hint="eastAsia"/>
            <w:color w:val="6E6E6E"/>
            <w:sz w:val="24"/>
            <w:szCs w:val="24"/>
            <w:u w:val="single"/>
            <w:shd w:val="clear" w:color="auto" w:fill="FFFFFF"/>
          </w:rPr>
          <w:t>号</w:t>
        </w:r>
      </w:hyperlink>
      <w:r w:rsidR="00123DAD" w:rsidRPr="00123DAD">
        <w:rPr>
          <w:rFonts w:hint="eastAsia"/>
          <w:color w:val="333333"/>
          <w:sz w:val="24"/>
          <w:szCs w:val="24"/>
          <w:shd w:val="clear" w:color="auto" w:fill="FFFFFF"/>
        </w:rPr>
        <w:t>）</w:t>
      </w:r>
      <w:r w:rsidRPr="00123DAD">
        <w:rPr>
          <w:rFonts w:ascii="宋体" w:eastAsia="宋体" w:hAnsi="宋体" w:cs="宋体" w:hint="eastAsia"/>
          <w:color w:val="000000" w:themeColor="text1"/>
          <w:kern w:val="0"/>
          <w:sz w:val="24"/>
          <w:szCs w:val="24"/>
        </w:rPr>
        <w:t>的规</w:t>
      </w:r>
      <w:bookmarkEnd w:id="5"/>
      <w:r w:rsidRPr="002823CB">
        <w:rPr>
          <w:rFonts w:ascii="宋体" w:eastAsia="宋体" w:hAnsi="宋体" w:cs="宋体" w:hint="eastAsia"/>
          <w:color w:val="000000" w:themeColor="text1"/>
          <w:kern w:val="0"/>
          <w:sz w:val="24"/>
          <w:szCs w:val="24"/>
        </w:rPr>
        <w:t>定，对TJS公司的受益所有人身份进行分析和认定如下：</w:t>
      </w:r>
    </w:p>
    <w:p w14:paraId="551F305B" w14:textId="17F62152"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1、TJS公司没有实质经营活动</w:t>
      </w:r>
    </w:p>
    <w:p w14:paraId="288EED20"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TJS公司是一家国际商务公司，其中文名称为“滩间山有限公司”，专门对青海大柴旦滩间山金矿项目进行财务管理和经营监管，除此之外没有其他经营活动。</w:t>
      </w:r>
    </w:p>
    <w:p w14:paraId="0E2BA4D8" w14:textId="64B7FB31" w:rsidR="002823CB" w:rsidRPr="002823CB" w:rsidRDefault="002823CB"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34" w:history="1">
        <w:r w:rsidR="00123DAD" w:rsidRPr="00123DAD">
          <w:rPr>
            <w:rStyle w:val="a6"/>
            <w:rFonts w:ascii="宋体" w:eastAsia="宋体" w:hAnsi="宋体" w:hint="eastAsia"/>
            <w:sz w:val="24"/>
            <w:szCs w:val="24"/>
            <w:shd w:val="clear" w:color="auto" w:fill="FFFFFF"/>
          </w:rPr>
          <w:t>税总发〔2014〕70号</w:t>
        </w:r>
      </w:hyperlink>
      <w:r w:rsidRPr="002823CB">
        <w:rPr>
          <w:rFonts w:ascii="宋体" w:eastAsia="宋体" w:hAnsi="宋体" w:hint="eastAsia"/>
          <w:color w:val="000000" w:themeColor="text1"/>
          <w:sz w:val="24"/>
          <w:szCs w:val="24"/>
          <w:shd w:val="clear" w:color="auto" w:fill="FFFFFF"/>
        </w:rPr>
        <w:t>第二条第一款）</w:t>
      </w:r>
    </w:p>
    <w:p w14:paraId="3B5F9922" w14:textId="7AD5FDE8"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2、TJS公司的注册资本少，人员配置少，与其取得的巨额股息难以匹配</w:t>
      </w:r>
    </w:p>
    <w:p w14:paraId="5D827CB3"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TJS公司2008年至2010年的注册资本仅为1美元，其投资于大柴旦公司的资金均来源于母公司给予的债权融资。之后虽两次增资，但不能改变其在我国的初始投资并非用资本金投资的事实。</w:t>
      </w:r>
    </w:p>
    <w:p w14:paraId="71F6C693"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TJS公司现有5名董事，但其2008年至2013年向5名董事支付的董事费总额仅为23，000美元，平均每位董事每年取得的董事费不足1，000美元。</w:t>
      </w:r>
    </w:p>
    <w:p w14:paraId="232CF6A8"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另外，TJS公司声称有5名雇员，并接受外包服务。但是，5名雇员和外包服务的合同均由EB公司签订，5名雇员和外包服务提供商同时为TJS公司和EB公司提供服务，但TJS公司不支付任何费用。</w:t>
      </w:r>
    </w:p>
    <w:p w14:paraId="0EFF4B40" w14:textId="0E991C35" w:rsidR="002823CB" w:rsidRPr="002823CB" w:rsidRDefault="002823CB"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lastRenderedPageBreak/>
        <w:t>（</w:t>
      </w:r>
      <w:hyperlink r:id="rId35" w:history="1">
        <w:r w:rsidR="00123DAD" w:rsidRPr="00123DAD">
          <w:rPr>
            <w:rStyle w:val="a6"/>
            <w:rFonts w:ascii="宋体" w:eastAsia="宋体" w:hAnsi="宋体" w:hint="eastAsia"/>
            <w:sz w:val="24"/>
            <w:szCs w:val="24"/>
            <w:shd w:val="clear" w:color="auto" w:fill="FFFFFF"/>
          </w:rPr>
          <w:t>税总发〔2014〕70号</w:t>
        </w:r>
      </w:hyperlink>
      <w:r w:rsidRPr="002823CB">
        <w:rPr>
          <w:rFonts w:ascii="宋体" w:eastAsia="宋体" w:hAnsi="宋体" w:hint="eastAsia"/>
          <w:color w:val="000000" w:themeColor="text1"/>
          <w:sz w:val="24"/>
          <w:szCs w:val="24"/>
          <w:shd w:val="clear" w:color="auto" w:fill="FFFFFF"/>
        </w:rPr>
        <w:t>第二条第二款）</w:t>
      </w:r>
    </w:p>
    <w:p w14:paraId="72F67CE9" w14:textId="21B3FE55"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3、TJS公司对其持有的大柴旦公司股权很少承担风险</w:t>
      </w:r>
    </w:p>
    <w:p w14:paraId="7522EC5B"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按照大柴旦公司的章程，TJS公司需要为大柴旦公司承担人员招聘、培训、获取贷款、融资、财务等责任。但是，从TJS公司的董事构成、雇员数量及其相关费用支出来看，TJS公司没有承担相关责任的人员及费用支出记录。</w:t>
      </w:r>
    </w:p>
    <w:p w14:paraId="57D246AF"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首先，互联网信息显示，大柴旦公司的人员招聘工作由最终股东埃尔拉多公司的北京办事处负责。其次，大柴旦公司的5名董事中，作为外方股东代表的董事长和1名董事分别由埃尔拉多公司的资深中国副总裁和首席运营官担任，而不是由TJS公司派出。再次，TJS公司财务报表显示，其向大柴旦公司收取的技术费和服务费均以工资或服务报酬等名义全额转付给了母公司， TJS公司仅是代母公司收取了技术费和服务费。</w:t>
      </w:r>
    </w:p>
    <w:p w14:paraId="38EE8982" w14:textId="66EEBB93" w:rsidR="002823CB" w:rsidRPr="002823CB" w:rsidRDefault="002823CB"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2823CB">
        <w:rPr>
          <w:rFonts w:ascii="宋体" w:eastAsia="宋体" w:hAnsi="宋体" w:hint="eastAsia"/>
          <w:color w:val="000000" w:themeColor="text1"/>
          <w:sz w:val="24"/>
          <w:szCs w:val="24"/>
          <w:shd w:val="clear" w:color="auto" w:fill="FFFFFF"/>
        </w:rPr>
        <w:t>（</w:t>
      </w:r>
      <w:hyperlink r:id="rId36" w:history="1">
        <w:r w:rsidR="00123DAD" w:rsidRPr="00123DAD">
          <w:rPr>
            <w:rStyle w:val="a6"/>
            <w:rFonts w:ascii="宋体" w:eastAsia="宋体" w:hAnsi="宋体" w:hint="eastAsia"/>
            <w:sz w:val="24"/>
            <w:szCs w:val="24"/>
            <w:shd w:val="clear" w:color="auto" w:fill="FFFFFF"/>
          </w:rPr>
          <w:t>税总发〔2014〕70号</w:t>
        </w:r>
      </w:hyperlink>
      <w:r w:rsidRPr="002823CB">
        <w:rPr>
          <w:rFonts w:ascii="宋体" w:eastAsia="宋体" w:hAnsi="宋体" w:hint="eastAsia"/>
          <w:color w:val="000000" w:themeColor="text1"/>
          <w:sz w:val="24"/>
          <w:szCs w:val="24"/>
          <w:shd w:val="clear" w:color="auto" w:fill="FFFFFF"/>
        </w:rPr>
        <w:t>第二条第三款）</w:t>
      </w:r>
    </w:p>
    <w:p w14:paraId="321E0337" w14:textId="23CC1FEB"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4、TJS公司在巴巴多斯不纳税</w:t>
      </w:r>
    </w:p>
    <w:p w14:paraId="446E174B"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TJS公司在巴巴多斯注册的类型是国际商务公司，按照巴巴多斯税法，国际商务公司的所得税率仅为1%至2.5%。尽管从该公司2004年至2010年的纳税申报表看，是由于亏损而未在巴巴多斯纳税，但如此低的税率不利于认定其为受益所有人。</w:t>
      </w:r>
    </w:p>
    <w:p w14:paraId="4E806892" w14:textId="77777777" w:rsidR="002823CB" w:rsidRPr="002823CB" w:rsidRDefault="002823CB" w:rsidP="002823CB">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2823CB">
        <w:rPr>
          <w:rFonts w:ascii="宋体" w:eastAsia="宋体" w:hAnsi="宋体" w:cs="宋体" w:hint="eastAsia"/>
          <w:color w:val="000000" w:themeColor="text1"/>
          <w:kern w:val="0"/>
          <w:sz w:val="24"/>
          <w:szCs w:val="24"/>
        </w:rPr>
        <w:t>通过综合分析上述因素，可以认定TJS公司不具有股息受益所有人身份，从而不应享受中国-巴巴多斯税收协定的优惠待遇。</w:t>
      </w:r>
    </w:p>
    <w:p w14:paraId="2F387817" w14:textId="3768B44C" w:rsidR="002823CB" w:rsidRPr="002823CB" w:rsidRDefault="002823CB" w:rsidP="002823CB">
      <w:pPr>
        <w:widowControl/>
        <w:shd w:val="clear" w:color="auto" w:fill="FFFFFF"/>
        <w:spacing w:beforeLines="50" w:before="156" w:line="480" w:lineRule="atLeast"/>
        <w:ind w:firstLineChars="200" w:firstLine="480"/>
        <w:jc w:val="right"/>
        <w:rPr>
          <w:rFonts w:ascii="宋体" w:eastAsia="宋体" w:hAnsi="宋体"/>
          <w:color w:val="000000" w:themeColor="text1"/>
          <w:sz w:val="24"/>
          <w:szCs w:val="24"/>
        </w:rPr>
      </w:pPr>
      <w:r w:rsidRPr="002823CB">
        <w:rPr>
          <w:rFonts w:ascii="宋体" w:eastAsia="宋体" w:hAnsi="宋体" w:hint="eastAsia"/>
          <w:color w:val="000000" w:themeColor="text1"/>
          <w:sz w:val="24"/>
          <w:szCs w:val="24"/>
          <w:shd w:val="clear" w:color="auto" w:fill="FFFFFF"/>
        </w:rPr>
        <w:t>（</w:t>
      </w:r>
      <w:hyperlink r:id="rId37" w:history="1">
        <w:r w:rsidR="00123DAD" w:rsidRPr="00123DAD">
          <w:rPr>
            <w:rStyle w:val="a6"/>
            <w:rFonts w:ascii="宋体" w:eastAsia="宋体" w:hAnsi="宋体" w:hint="eastAsia"/>
            <w:sz w:val="24"/>
            <w:szCs w:val="24"/>
            <w:shd w:val="clear" w:color="auto" w:fill="FFFFFF"/>
          </w:rPr>
          <w:t>税总发〔2014〕70号</w:t>
        </w:r>
      </w:hyperlink>
      <w:r w:rsidRPr="002823CB">
        <w:rPr>
          <w:rFonts w:ascii="宋体" w:eastAsia="宋体" w:hAnsi="宋体" w:hint="eastAsia"/>
          <w:color w:val="000000" w:themeColor="text1"/>
          <w:sz w:val="24"/>
          <w:szCs w:val="24"/>
          <w:shd w:val="clear" w:color="auto" w:fill="FFFFFF"/>
        </w:rPr>
        <w:t>第二条第四款）</w:t>
      </w:r>
    </w:p>
    <w:p w14:paraId="534AF275" w14:textId="57920C96" w:rsidR="001C3046" w:rsidRPr="002823CB" w:rsidRDefault="001C3046" w:rsidP="002823CB">
      <w:pPr>
        <w:spacing w:beforeLines="50" w:before="156" w:line="480" w:lineRule="atLeast"/>
        <w:ind w:firstLineChars="200" w:firstLine="482"/>
        <w:rPr>
          <w:rFonts w:ascii="宋体" w:eastAsia="宋体" w:hAnsi="宋体"/>
          <w:b/>
          <w:bCs/>
          <w:color w:val="000000" w:themeColor="text1"/>
          <w:kern w:val="44"/>
          <w:sz w:val="24"/>
          <w:szCs w:val="24"/>
        </w:rPr>
      </w:pPr>
    </w:p>
    <w:p w14:paraId="18F9B940" w14:textId="77777777" w:rsidR="00B029D4" w:rsidRPr="006D4914" w:rsidRDefault="00B029D4" w:rsidP="006D4914">
      <w:pPr>
        <w:spacing w:beforeLines="50" w:before="156" w:line="480" w:lineRule="atLeast"/>
        <w:ind w:firstLineChars="200" w:firstLine="480"/>
        <w:rPr>
          <w:rFonts w:asciiTheme="minorEastAsia" w:hAnsiTheme="minorEastAsia"/>
          <w:color w:val="000000" w:themeColor="text1"/>
          <w:sz w:val="24"/>
          <w:szCs w:val="24"/>
        </w:rPr>
      </w:pPr>
    </w:p>
    <w:sectPr w:rsidR="00B029D4" w:rsidRPr="006D4914">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95680" w14:textId="77777777" w:rsidR="00A34C2B" w:rsidRDefault="00A34C2B" w:rsidP="008D63C6">
      <w:r>
        <w:separator/>
      </w:r>
    </w:p>
  </w:endnote>
  <w:endnote w:type="continuationSeparator" w:id="0">
    <w:p w14:paraId="08911570" w14:textId="77777777" w:rsidR="00A34C2B" w:rsidRDefault="00A34C2B"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23DAD">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23DAD">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3722B" w14:textId="77777777" w:rsidR="00A34C2B" w:rsidRDefault="00A34C2B" w:rsidP="008D63C6">
      <w:r>
        <w:separator/>
      </w:r>
    </w:p>
  </w:footnote>
  <w:footnote w:type="continuationSeparator" w:id="0">
    <w:p w14:paraId="4DAB81CC" w14:textId="77777777" w:rsidR="00A34C2B" w:rsidRDefault="00A34C2B"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65B5"/>
    <w:rsid w:val="00067B3F"/>
    <w:rsid w:val="00076DF4"/>
    <w:rsid w:val="000A1580"/>
    <w:rsid w:val="000A7A38"/>
    <w:rsid w:val="000C328F"/>
    <w:rsid w:val="000D0CF3"/>
    <w:rsid w:val="000E06BC"/>
    <w:rsid w:val="000E1550"/>
    <w:rsid w:val="000F38B4"/>
    <w:rsid w:val="000F6FDA"/>
    <w:rsid w:val="0010501A"/>
    <w:rsid w:val="00106154"/>
    <w:rsid w:val="0012077A"/>
    <w:rsid w:val="00123DAD"/>
    <w:rsid w:val="00124CCD"/>
    <w:rsid w:val="00133462"/>
    <w:rsid w:val="0013371B"/>
    <w:rsid w:val="00140B0D"/>
    <w:rsid w:val="00143735"/>
    <w:rsid w:val="00153E93"/>
    <w:rsid w:val="001773B2"/>
    <w:rsid w:val="001825B2"/>
    <w:rsid w:val="00186F69"/>
    <w:rsid w:val="001879D1"/>
    <w:rsid w:val="001C3046"/>
    <w:rsid w:val="001C7D09"/>
    <w:rsid w:val="001D0FB8"/>
    <w:rsid w:val="001F3F0A"/>
    <w:rsid w:val="00204AE5"/>
    <w:rsid w:val="00204EA7"/>
    <w:rsid w:val="0023101A"/>
    <w:rsid w:val="00236C8E"/>
    <w:rsid w:val="0025427F"/>
    <w:rsid w:val="00264D0E"/>
    <w:rsid w:val="00265081"/>
    <w:rsid w:val="002822B7"/>
    <w:rsid w:val="002823CB"/>
    <w:rsid w:val="0028652D"/>
    <w:rsid w:val="002B633B"/>
    <w:rsid w:val="002C2AD2"/>
    <w:rsid w:val="002D06F4"/>
    <w:rsid w:val="002D4CDD"/>
    <w:rsid w:val="002D59AA"/>
    <w:rsid w:val="002E1AF6"/>
    <w:rsid w:val="002F3800"/>
    <w:rsid w:val="002F50D4"/>
    <w:rsid w:val="003006A6"/>
    <w:rsid w:val="00315E01"/>
    <w:rsid w:val="003163EC"/>
    <w:rsid w:val="00322E87"/>
    <w:rsid w:val="003409FD"/>
    <w:rsid w:val="003420C2"/>
    <w:rsid w:val="0034249D"/>
    <w:rsid w:val="00352E6D"/>
    <w:rsid w:val="003773C5"/>
    <w:rsid w:val="00390245"/>
    <w:rsid w:val="00394538"/>
    <w:rsid w:val="003A3829"/>
    <w:rsid w:val="003A3D20"/>
    <w:rsid w:val="003C3CD3"/>
    <w:rsid w:val="003D4A0F"/>
    <w:rsid w:val="003D584F"/>
    <w:rsid w:val="003E7611"/>
    <w:rsid w:val="00402865"/>
    <w:rsid w:val="0040440C"/>
    <w:rsid w:val="00416ED8"/>
    <w:rsid w:val="00421607"/>
    <w:rsid w:val="004271D7"/>
    <w:rsid w:val="00430AEE"/>
    <w:rsid w:val="00436332"/>
    <w:rsid w:val="00441889"/>
    <w:rsid w:val="00462FF2"/>
    <w:rsid w:val="0047122A"/>
    <w:rsid w:val="004B6E8F"/>
    <w:rsid w:val="004E128D"/>
    <w:rsid w:val="004E49D2"/>
    <w:rsid w:val="005111C0"/>
    <w:rsid w:val="005149DB"/>
    <w:rsid w:val="00523E2F"/>
    <w:rsid w:val="005304E2"/>
    <w:rsid w:val="00537AEA"/>
    <w:rsid w:val="00552C76"/>
    <w:rsid w:val="005536F0"/>
    <w:rsid w:val="00555221"/>
    <w:rsid w:val="00557686"/>
    <w:rsid w:val="00577B68"/>
    <w:rsid w:val="00586093"/>
    <w:rsid w:val="005B13D2"/>
    <w:rsid w:val="005D00CA"/>
    <w:rsid w:val="005E47E7"/>
    <w:rsid w:val="00603F42"/>
    <w:rsid w:val="00604838"/>
    <w:rsid w:val="00626FAD"/>
    <w:rsid w:val="006309F4"/>
    <w:rsid w:val="006334B8"/>
    <w:rsid w:val="00647FAE"/>
    <w:rsid w:val="0066072D"/>
    <w:rsid w:val="006634AA"/>
    <w:rsid w:val="00670E0F"/>
    <w:rsid w:val="00672948"/>
    <w:rsid w:val="00677107"/>
    <w:rsid w:val="006979BE"/>
    <w:rsid w:val="006A20C9"/>
    <w:rsid w:val="006A6936"/>
    <w:rsid w:val="006B4939"/>
    <w:rsid w:val="006D4914"/>
    <w:rsid w:val="006E3156"/>
    <w:rsid w:val="00702666"/>
    <w:rsid w:val="00726CEF"/>
    <w:rsid w:val="007273FC"/>
    <w:rsid w:val="0073415B"/>
    <w:rsid w:val="00740A21"/>
    <w:rsid w:val="00751B4A"/>
    <w:rsid w:val="007713A7"/>
    <w:rsid w:val="00773E1A"/>
    <w:rsid w:val="00782523"/>
    <w:rsid w:val="00791439"/>
    <w:rsid w:val="007B52AF"/>
    <w:rsid w:val="007B6D37"/>
    <w:rsid w:val="007E52D4"/>
    <w:rsid w:val="00811AD7"/>
    <w:rsid w:val="00820F5E"/>
    <w:rsid w:val="00821BDC"/>
    <w:rsid w:val="00835123"/>
    <w:rsid w:val="00836465"/>
    <w:rsid w:val="008458CF"/>
    <w:rsid w:val="00846BFB"/>
    <w:rsid w:val="00867863"/>
    <w:rsid w:val="00890BDB"/>
    <w:rsid w:val="0089595C"/>
    <w:rsid w:val="008A13A6"/>
    <w:rsid w:val="008A6E0E"/>
    <w:rsid w:val="008C4CAF"/>
    <w:rsid w:val="008D59E0"/>
    <w:rsid w:val="008D63C6"/>
    <w:rsid w:val="008E6AE2"/>
    <w:rsid w:val="008F4E32"/>
    <w:rsid w:val="008F50DF"/>
    <w:rsid w:val="008F5C3A"/>
    <w:rsid w:val="00923A5B"/>
    <w:rsid w:val="009249DE"/>
    <w:rsid w:val="00927F77"/>
    <w:rsid w:val="009524C2"/>
    <w:rsid w:val="0095261C"/>
    <w:rsid w:val="00960390"/>
    <w:rsid w:val="009669F6"/>
    <w:rsid w:val="00986C5A"/>
    <w:rsid w:val="00990092"/>
    <w:rsid w:val="009A1F5F"/>
    <w:rsid w:val="009C5CF4"/>
    <w:rsid w:val="009D5B3A"/>
    <w:rsid w:val="009E18C9"/>
    <w:rsid w:val="00A06195"/>
    <w:rsid w:val="00A1440A"/>
    <w:rsid w:val="00A27AE2"/>
    <w:rsid w:val="00A27C99"/>
    <w:rsid w:val="00A34C2B"/>
    <w:rsid w:val="00A42333"/>
    <w:rsid w:val="00A53628"/>
    <w:rsid w:val="00A73CD1"/>
    <w:rsid w:val="00A91435"/>
    <w:rsid w:val="00A96738"/>
    <w:rsid w:val="00AA3D33"/>
    <w:rsid w:val="00AA70A7"/>
    <w:rsid w:val="00AC3F64"/>
    <w:rsid w:val="00AC536B"/>
    <w:rsid w:val="00AD0622"/>
    <w:rsid w:val="00AE0E17"/>
    <w:rsid w:val="00AF5778"/>
    <w:rsid w:val="00AF798D"/>
    <w:rsid w:val="00B029D4"/>
    <w:rsid w:val="00B066DC"/>
    <w:rsid w:val="00B16CF6"/>
    <w:rsid w:val="00B23E50"/>
    <w:rsid w:val="00B33E8A"/>
    <w:rsid w:val="00B86D1F"/>
    <w:rsid w:val="00B93445"/>
    <w:rsid w:val="00BA2DBA"/>
    <w:rsid w:val="00BA4508"/>
    <w:rsid w:val="00BB44C6"/>
    <w:rsid w:val="00BC45DB"/>
    <w:rsid w:val="00BC5EB2"/>
    <w:rsid w:val="00BD0510"/>
    <w:rsid w:val="00BD6BBE"/>
    <w:rsid w:val="00BE59A8"/>
    <w:rsid w:val="00BF26AE"/>
    <w:rsid w:val="00BF3704"/>
    <w:rsid w:val="00C117A5"/>
    <w:rsid w:val="00C30928"/>
    <w:rsid w:val="00C30CE5"/>
    <w:rsid w:val="00C31DC2"/>
    <w:rsid w:val="00C554EC"/>
    <w:rsid w:val="00C56DB0"/>
    <w:rsid w:val="00C56E20"/>
    <w:rsid w:val="00C83F5C"/>
    <w:rsid w:val="00CA4D89"/>
    <w:rsid w:val="00CB7B83"/>
    <w:rsid w:val="00CC19B5"/>
    <w:rsid w:val="00CC24D7"/>
    <w:rsid w:val="00CC4A8A"/>
    <w:rsid w:val="00CD278B"/>
    <w:rsid w:val="00CE17B0"/>
    <w:rsid w:val="00CE7FDB"/>
    <w:rsid w:val="00D116FD"/>
    <w:rsid w:val="00D206C3"/>
    <w:rsid w:val="00D238CC"/>
    <w:rsid w:val="00D30FE2"/>
    <w:rsid w:val="00D42F41"/>
    <w:rsid w:val="00D505A2"/>
    <w:rsid w:val="00D72B80"/>
    <w:rsid w:val="00D84FAD"/>
    <w:rsid w:val="00D946BF"/>
    <w:rsid w:val="00D95D7F"/>
    <w:rsid w:val="00DB24DC"/>
    <w:rsid w:val="00DB40AF"/>
    <w:rsid w:val="00DB566A"/>
    <w:rsid w:val="00DB651F"/>
    <w:rsid w:val="00DC0CBB"/>
    <w:rsid w:val="00DD1743"/>
    <w:rsid w:val="00DD1CA3"/>
    <w:rsid w:val="00DE6113"/>
    <w:rsid w:val="00DF2592"/>
    <w:rsid w:val="00DF51FF"/>
    <w:rsid w:val="00E22101"/>
    <w:rsid w:val="00E45626"/>
    <w:rsid w:val="00E47AE1"/>
    <w:rsid w:val="00E54CBE"/>
    <w:rsid w:val="00E67710"/>
    <w:rsid w:val="00E76EED"/>
    <w:rsid w:val="00EA120E"/>
    <w:rsid w:val="00EA1BA1"/>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2472.html" TargetMode="External"/><Relationship Id="rId18" Type="http://schemas.openxmlformats.org/officeDocument/2006/relationships/hyperlink" Target="http://ssfb86.com/index/News/detail/newsid/1956.html" TargetMode="External"/><Relationship Id="rId26" Type="http://schemas.openxmlformats.org/officeDocument/2006/relationships/hyperlink" Target="http://ssfb86.com/index/News/detail/newsid/1956.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fb86.com/index/News/detail/newsid/1956.html" TargetMode="External"/><Relationship Id="rId34" Type="http://schemas.openxmlformats.org/officeDocument/2006/relationships/hyperlink" Target="http://ssfb86.com/index/News/detail/newsid/1221.html" TargetMode="External"/><Relationship Id="rId7" Type="http://schemas.openxmlformats.org/officeDocument/2006/relationships/footnotes" Target="footnotes.xml"/><Relationship Id="rId12" Type="http://schemas.openxmlformats.org/officeDocument/2006/relationships/hyperlink" Target="http://ssfb86.com/index/News/detail/newsid/828.html" TargetMode="External"/><Relationship Id="rId17" Type="http://schemas.openxmlformats.org/officeDocument/2006/relationships/hyperlink" Target="http://ssfb86.com/index/News/detail/newsid/1956.html" TargetMode="External"/><Relationship Id="rId25" Type="http://schemas.openxmlformats.org/officeDocument/2006/relationships/hyperlink" Target="http://ssfb86.com/index/News/detail/newsid/2472.html" TargetMode="External"/><Relationship Id="rId33" Type="http://schemas.openxmlformats.org/officeDocument/2006/relationships/hyperlink" Target="http://ssfb86.com/index/News/detail/newsid/1536.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fb86.com/index/News/detail/newsid/1956.html" TargetMode="External"/><Relationship Id="rId20" Type="http://schemas.openxmlformats.org/officeDocument/2006/relationships/hyperlink" Target="http://ssfb86.com/index/News/detail/newsid/1956.html" TargetMode="External"/><Relationship Id="rId29" Type="http://schemas.openxmlformats.org/officeDocument/2006/relationships/hyperlink" Target="http://ssfb86.com/index/News/detail/newsid/195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036.html" TargetMode="External"/><Relationship Id="rId24" Type="http://schemas.openxmlformats.org/officeDocument/2006/relationships/hyperlink" Target="http://ssfb86.com/index/News/detail/newsid/1956.html" TargetMode="External"/><Relationship Id="rId32" Type="http://schemas.openxmlformats.org/officeDocument/2006/relationships/hyperlink" Target="http://ssfb86.com/index/News/detail/newsid/2049.html" TargetMode="External"/><Relationship Id="rId37" Type="http://schemas.openxmlformats.org/officeDocument/2006/relationships/hyperlink" Target="http://ssfb86.com/index/News/detail/newsid/1221.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fb86.com/index/News/detail/newsid/1956.html" TargetMode="External"/><Relationship Id="rId23" Type="http://schemas.openxmlformats.org/officeDocument/2006/relationships/hyperlink" Target="http://ssfb86.com/index/News/detail/newsid/2472.html" TargetMode="External"/><Relationship Id="rId28" Type="http://schemas.openxmlformats.org/officeDocument/2006/relationships/hyperlink" Target="http://ssfb86.com/index/News/detail/newsid/1956.html" TargetMode="External"/><Relationship Id="rId36" Type="http://schemas.openxmlformats.org/officeDocument/2006/relationships/hyperlink" Target="http://ssfb86.com/index/News/detail/newsid/1221.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2472.html" TargetMode="External"/><Relationship Id="rId31" Type="http://schemas.openxmlformats.org/officeDocument/2006/relationships/hyperlink" Target="http://ssfb86.com/index/News/detail/newsid/1221.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2472.html" TargetMode="External"/><Relationship Id="rId22" Type="http://schemas.openxmlformats.org/officeDocument/2006/relationships/hyperlink" Target="http://ssfb86.com/index/News/detail/newsid/1956.html" TargetMode="External"/><Relationship Id="rId27" Type="http://schemas.openxmlformats.org/officeDocument/2006/relationships/hyperlink" Target="http://ssfb86.com/index/News/detail/newsid/1956.html" TargetMode="External"/><Relationship Id="rId30" Type="http://schemas.openxmlformats.org/officeDocument/2006/relationships/hyperlink" Target="http://ssfb86.com/index/News/detail/newsid/1956.html" TargetMode="External"/><Relationship Id="rId35" Type="http://schemas.openxmlformats.org/officeDocument/2006/relationships/hyperlink" Target="http://ssfb86.com/index/News/detail/newsid/122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125A-6DBD-48F9-9DD7-35589D64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2020-07-08T09:33:00Z</dcterms:created>
  <dcterms:modified xsi:type="dcterms:W3CDTF">2020-10-14T00:12:00Z</dcterms:modified>
</cp:coreProperties>
</file>