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01635EB0" w:rsidR="003773C5" w:rsidRDefault="003773C5" w:rsidP="008D63C6">
      <w:pPr>
        <w:jc w:val="center"/>
        <w:rPr>
          <w:rFonts w:asciiTheme="minorEastAsia" w:hAnsiTheme="minorEastAsia"/>
          <w:sz w:val="44"/>
          <w:szCs w:val="44"/>
        </w:rPr>
      </w:pPr>
    </w:p>
    <w:p w14:paraId="51690754" w14:textId="28F790C0" w:rsidR="00EC533D" w:rsidRDefault="00C117A5" w:rsidP="00E015BF">
      <w:pPr>
        <w:jc w:val="center"/>
        <w:rPr>
          <w:rFonts w:asciiTheme="minorEastAsia" w:hAnsiTheme="minorEastAsia"/>
          <w:sz w:val="44"/>
          <w:szCs w:val="44"/>
        </w:rPr>
      </w:pPr>
      <w:r w:rsidRPr="00907F32">
        <w:rPr>
          <w:rFonts w:asciiTheme="minorEastAsia" w:hAnsiTheme="minorEastAsia"/>
          <w:sz w:val="44"/>
          <w:szCs w:val="44"/>
        </w:rPr>
        <w:t>7</w:t>
      </w:r>
      <w:r w:rsidR="003D4A0F" w:rsidRPr="00907F32">
        <w:rPr>
          <w:rFonts w:asciiTheme="minorEastAsia" w:hAnsiTheme="minorEastAsia"/>
          <w:sz w:val="44"/>
          <w:szCs w:val="44"/>
        </w:rPr>
        <w:t>.</w:t>
      </w:r>
      <w:r w:rsidR="00665221" w:rsidRPr="00907F32">
        <w:rPr>
          <w:rFonts w:asciiTheme="minorEastAsia" w:hAnsiTheme="minorEastAsia"/>
          <w:sz w:val="44"/>
          <w:szCs w:val="44"/>
        </w:rPr>
        <w:t>5</w:t>
      </w:r>
      <w:r w:rsidR="004F392F" w:rsidRPr="00907F32">
        <w:rPr>
          <w:rFonts w:asciiTheme="minorEastAsia" w:hAnsiTheme="minorEastAsia"/>
          <w:sz w:val="44"/>
          <w:szCs w:val="44"/>
        </w:rPr>
        <w:t>.</w:t>
      </w:r>
      <w:r w:rsidR="00CD22C8">
        <w:rPr>
          <w:rFonts w:asciiTheme="minorEastAsia" w:hAnsiTheme="minorEastAsia"/>
          <w:sz w:val="44"/>
          <w:szCs w:val="44"/>
        </w:rPr>
        <w:t>7.</w:t>
      </w:r>
      <w:r w:rsidR="00722B79">
        <w:rPr>
          <w:rFonts w:asciiTheme="minorEastAsia" w:hAnsiTheme="minorEastAsia"/>
          <w:sz w:val="44"/>
          <w:szCs w:val="44"/>
        </w:rPr>
        <w:t>5</w:t>
      </w:r>
      <w:r w:rsidR="008D63C6" w:rsidRPr="00907F32">
        <w:rPr>
          <w:rFonts w:asciiTheme="minorEastAsia" w:hAnsiTheme="minorEastAsia"/>
          <w:sz w:val="44"/>
          <w:szCs w:val="44"/>
        </w:rPr>
        <w:t xml:space="preserve">  </w:t>
      </w:r>
      <w:r w:rsidR="00722B79" w:rsidRPr="00722B79">
        <w:rPr>
          <w:rFonts w:asciiTheme="minorEastAsia" w:hAnsiTheme="minorEastAsia" w:hint="eastAsia"/>
          <w:sz w:val="44"/>
          <w:szCs w:val="44"/>
        </w:rPr>
        <w:t>中外合作开采石油天然气有关非居民税收</w:t>
      </w:r>
    </w:p>
    <w:p w14:paraId="04F13806" w14:textId="34FEFF12" w:rsidR="00722B79" w:rsidRDefault="00722B79" w:rsidP="006839E6">
      <w:pPr>
        <w:widowControl/>
        <w:shd w:val="clear" w:color="auto" w:fill="FFFFFF"/>
        <w:spacing w:beforeLines="50" w:before="156" w:line="540" w:lineRule="atLeast"/>
        <w:ind w:firstLineChars="200" w:firstLine="480"/>
        <w:jc w:val="left"/>
        <w:rPr>
          <w:rFonts w:asciiTheme="minorEastAsia" w:hAnsiTheme="minorEastAsia" w:cs="宋体"/>
          <w:color w:val="000000" w:themeColor="text1"/>
          <w:kern w:val="0"/>
          <w:sz w:val="24"/>
          <w:szCs w:val="24"/>
        </w:rPr>
      </w:pPr>
    </w:p>
    <w:p w14:paraId="5C73E02D" w14:textId="77777777" w:rsidR="00A66733" w:rsidRPr="00A66733" w:rsidRDefault="00A66733" w:rsidP="00A66733">
      <w:pPr>
        <w:pStyle w:val="1"/>
        <w:spacing w:beforeLines="50" w:before="156" w:after="0" w:line="480" w:lineRule="atLeast"/>
        <w:rPr>
          <w:sz w:val="24"/>
          <w:szCs w:val="24"/>
        </w:rPr>
      </w:pPr>
      <w:r w:rsidRPr="00A66733">
        <w:rPr>
          <w:rFonts w:hint="eastAsia"/>
          <w:sz w:val="24"/>
          <w:szCs w:val="24"/>
        </w:rPr>
        <w:t>一、主要政策</w:t>
      </w:r>
    </w:p>
    <w:p w14:paraId="646C0945" w14:textId="77777777" w:rsidR="00A66733" w:rsidRPr="00A66733" w:rsidRDefault="00A66733" w:rsidP="00A66733">
      <w:pPr>
        <w:pStyle w:val="2"/>
        <w:spacing w:beforeLines="50" w:before="156" w:after="0" w:line="480" w:lineRule="atLeast"/>
        <w:rPr>
          <w:sz w:val="24"/>
          <w:szCs w:val="24"/>
        </w:rPr>
      </w:pPr>
      <w:r w:rsidRPr="00A66733">
        <w:rPr>
          <w:rFonts w:hint="eastAsia"/>
          <w:sz w:val="24"/>
          <w:szCs w:val="24"/>
        </w:rPr>
        <w:t>（一）未设立独立企业</w:t>
      </w:r>
    </w:p>
    <w:p w14:paraId="1FAC7DA0" w14:textId="41B13302" w:rsidR="00A66733" w:rsidRPr="00A66733" w:rsidRDefault="00A66733" w:rsidP="00A6673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66733">
        <w:rPr>
          <w:rFonts w:asciiTheme="minorEastAsia" w:hAnsiTheme="minorEastAsia" w:cs="宋体" w:hint="eastAsia"/>
          <w:color w:val="000000" w:themeColor="text1"/>
          <w:kern w:val="0"/>
          <w:sz w:val="24"/>
          <w:szCs w:val="24"/>
        </w:rPr>
        <w:t>按照《中华人民共和国对外合作开采陆上石油资源条例》《中华人民共和国对外合作开采海洋石油资源条例》等相关规定，外国企业(不含实际管理机构设立在中国境内的外国企业，下同)与中国境内企业签订协议或合同，在中国境内合作开采石油天然气，凡未按照中国法律设立独立企业的，由合作各方分别缴纳企业所得税，外国企业属于在中国境内设立机构、场所从事生产经营活动的非居民企业，其分取的合作生产经营所得应按照</w:t>
      </w:r>
      <w:hyperlink r:id="rId9" w:history="1">
        <w:r w:rsidR="00996651" w:rsidRPr="00996651">
          <w:rPr>
            <w:rStyle w:val="a6"/>
            <w:rFonts w:asciiTheme="minorEastAsia" w:hAnsiTheme="minorEastAsia" w:cs="宋体" w:hint="eastAsia"/>
            <w:kern w:val="0"/>
            <w:sz w:val="24"/>
            <w:szCs w:val="24"/>
          </w:rPr>
          <w:t>企业所得税法</w:t>
        </w:r>
      </w:hyperlink>
      <w:bookmarkStart w:id="0" w:name="_GoBack"/>
      <w:bookmarkEnd w:id="0"/>
      <w:r w:rsidRPr="00A66733">
        <w:rPr>
          <w:rFonts w:asciiTheme="minorEastAsia" w:hAnsiTheme="minorEastAsia" w:cs="宋体" w:hint="eastAsia"/>
          <w:color w:val="000000" w:themeColor="text1"/>
          <w:kern w:val="0"/>
          <w:sz w:val="24"/>
          <w:szCs w:val="24"/>
        </w:rPr>
        <w:t>第三条第二款的规定申报缴纳企业所得税。在按前述规定缴纳企业所得税后，该外国企业取得的税后利润不属于适用</w:t>
      </w:r>
      <w:hyperlink r:id="rId10" w:history="1">
        <w:r w:rsidR="00996651" w:rsidRPr="00996651">
          <w:rPr>
            <w:rStyle w:val="a6"/>
            <w:rFonts w:asciiTheme="minorEastAsia" w:hAnsiTheme="minorEastAsia" w:cs="宋体" w:hint="eastAsia"/>
            <w:kern w:val="0"/>
            <w:sz w:val="24"/>
            <w:szCs w:val="24"/>
          </w:rPr>
          <w:t>企业所得税法</w:t>
        </w:r>
      </w:hyperlink>
      <w:r w:rsidRPr="00A66733">
        <w:rPr>
          <w:rFonts w:asciiTheme="minorEastAsia" w:hAnsiTheme="minorEastAsia" w:cs="宋体" w:hint="eastAsia"/>
          <w:color w:val="000000" w:themeColor="text1"/>
          <w:kern w:val="0"/>
          <w:sz w:val="24"/>
          <w:szCs w:val="24"/>
        </w:rPr>
        <w:t>第三条第三款规定的所得，不予扣缴企业所得税。</w:t>
      </w:r>
    </w:p>
    <w:p w14:paraId="375C29A2" w14:textId="04FCFC75" w:rsidR="00A66733" w:rsidRPr="00A66733" w:rsidRDefault="00A66733" w:rsidP="00A66733">
      <w:pPr>
        <w:spacing w:beforeLines="50" w:before="156" w:line="480" w:lineRule="atLeast"/>
        <w:jc w:val="right"/>
        <w:rPr>
          <w:rFonts w:asciiTheme="minorEastAsia" w:hAnsiTheme="minorEastAsia"/>
          <w:color w:val="000000" w:themeColor="text1"/>
          <w:sz w:val="24"/>
          <w:szCs w:val="24"/>
        </w:rPr>
      </w:pPr>
      <w:r w:rsidRPr="00A66733">
        <w:rPr>
          <w:rFonts w:asciiTheme="minorEastAsia" w:hAnsiTheme="minorEastAsia" w:hint="eastAsia"/>
          <w:color w:val="000000" w:themeColor="text1"/>
          <w:sz w:val="24"/>
          <w:szCs w:val="24"/>
        </w:rPr>
        <w:t>（</w:t>
      </w:r>
      <w:hyperlink r:id="rId11" w:history="1">
        <w:r w:rsidRPr="00996651">
          <w:rPr>
            <w:rStyle w:val="a6"/>
            <w:rFonts w:asciiTheme="minorEastAsia" w:hAnsiTheme="minorEastAsia" w:hint="eastAsia"/>
            <w:sz w:val="24"/>
            <w:szCs w:val="24"/>
          </w:rPr>
          <w:t>税总函〔2015〕494号</w:t>
        </w:r>
      </w:hyperlink>
      <w:r w:rsidRPr="00A66733">
        <w:rPr>
          <w:rFonts w:asciiTheme="minorEastAsia" w:hAnsiTheme="minorEastAsia" w:hint="eastAsia"/>
          <w:color w:val="000000" w:themeColor="text1"/>
          <w:sz w:val="24"/>
          <w:szCs w:val="24"/>
        </w:rPr>
        <w:t>第一条）</w:t>
      </w:r>
    </w:p>
    <w:p w14:paraId="65B602C4" w14:textId="77777777" w:rsidR="00A66733" w:rsidRPr="00A66733" w:rsidRDefault="00A66733" w:rsidP="00A66733">
      <w:pPr>
        <w:pStyle w:val="2"/>
        <w:spacing w:beforeLines="50" w:before="156" w:after="0" w:line="480" w:lineRule="atLeast"/>
        <w:rPr>
          <w:sz w:val="24"/>
          <w:szCs w:val="24"/>
        </w:rPr>
      </w:pPr>
      <w:r w:rsidRPr="00A66733">
        <w:rPr>
          <w:rFonts w:hint="eastAsia"/>
          <w:sz w:val="24"/>
          <w:szCs w:val="24"/>
        </w:rPr>
        <w:t>（二）共同设立中外合作经营企业</w:t>
      </w:r>
    </w:p>
    <w:p w14:paraId="12950E05" w14:textId="3AE9CFDE" w:rsidR="00A66733" w:rsidRPr="00A66733" w:rsidRDefault="00A66733" w:rsidP="00A6673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66733">
        <w:rPr>
          <w:rFonts w:asciiTheme="minorEastAsia" w:hAnsiTheme="minorEastAsia" w:cs="宋体" w:hint="eastAsia"/>
          <w:color w:val="000000" w:themeColor="text1"/>
          <w:kern w:val="0"/>
          <w:sz w:val="24"/>
          <w:szCs w:val="24"/>
        </w:rPr>
        <w:t>外国企业与中国境内企业按照《中华人民共和国中外合作经营企业法》在中国境内共同设立中外合作经营企业，由该中外合作经营企业开采石油天然气的，无论其是否具有法人资格，均为企业所得税法第二条规定的居民企业。该中外合作经营企业应就其取得的石油天然气开采所得和其他所得统一缴纳企业所得税。作为投资方的外国企业从中外合作经营企业分取的税后利润属于适用</w:t>
      </w:r>
      <w:hyperlink r:id="rId12" w:history="1">
        <w:r w:rsidRPr="00996651">
          <w:rPr>
            <w:rStyle w:val="a6"/>
            <w:rFonts w:asciiTheme="minorEastAsia" w:hAnsiTheme="minorEastAsia" w:cs="宋体" w:hint="eastAsia"/>
            <w:kern w:val="0"/>
            <w:sz w:val="24"/>
            <w:szCs w:val="24"/>
          </w:rPr>
          <w:t>企业所得税法</w:t>
        </w:r>
      </w:hyperlink>
      <w:r w:rsidRPr="00A66733">
        <w:rPr>
          <w:rFonts w:asciiTheme="minorEastAsia" w:hAnsiTheme="minorEastAsia" w:cs="宋体" w:hint="eastAsia"/>
          <w:color w:val="000000" w:themeColor="text1"/>
          <w:kern w:val="0"/>
          <w:sz w:val="24"/>
          <w:szCs w:val="24"/>
        </w:rPr>
        <w:t>第三条第三款规定的所得，应按有关规定扣缴企业所得税。</w:t>
      </w:r>
    </w:p>
    <w:p w14:paraId="7B47901B" w14:textId="4FF2D16A" w:rsidR="00A66733" w:rsidRPr="00A66733" w:rsidRDefault="00A66733" w:rsidP="00A66733">
      <w:pPr>
        <w:spacing w:beforeLines="50" w:before="156" w:line="480" w:lineRule="atLeast"/>
        <w:jc w:val="right"/>
        <w:rPr>
          <w:rFonts w:asciiTheme="minorEastAsia" w:hAnsiTheme="minorEastAsia"/>
          <w:color w:val="000000" w:themeColor="text1"/>
          <w:sz w:val="24"/>
          <w:szCs w:val="24"/>
        </w:rPr>
      </w:pPr>
      <w:r w:rsidRPr="00A66733">
        <w:rPr>
          <w:rFonts w:asciiTheme="minorEastAsia" w:hAnsiTheme="minorEastAsia" w:hint="eastAsia"/>
          <w:color w:val="000000" w:themeColor="text1"/>
          <w:sz w:val="24"/>
          <w:szCs w:val="24"/>
        </w:rPr>
        <w:t>（</w:t>
      </w:r>
      <w:hyperlink r:id="rId13" w:history="1">
        <w:r w:rsidR="00996651" w:rsidRPr="00996651">
          <w:rPr>
            <w:rStyle w:val="a6"/>
            <w:rFonts w:asciiTheme="minorEastAsia" w:hAnsiTheme="minorEastAsia" w:hint="eastAsia"/>
            <w:sz w:val="24"/>
            <w:szCs w:val="24"/>
          </w:rPr>
          <w:t>税总函〔2015〕494号</w:t>
        </w:r>
      </w:hyperlink>
      <w:r w:rsidRPr="00A66733">
        <w:rPr>
          <w:rFonts w:asciiTheme="minorEastAsia" w:hAnsiTheme="minorEastAsia" w:hint="eastAsia"/>
          <w:color w:val="000000" w:themeColor="text1"/>
          <w:sz w:val="24"/>
          <w:szCs w:val="24"/>
        </w:rPr>
        <w:t>第二条）</w:t>
      </w:r>
    </w:p>
    <w:p w14:paraId="03706827" w14:textId="77777777" w:rsidR="00A66733" w:rsidRPr="00A66733" w:rsidRDefault="00A66733" w:rsidP="00A66733">
      <w:pPr>
        <w:pStyle w:val="1"/>
        <w:spacing w:beforeLines="50" w:before="156" w:after="0" w:line="480" w:lineRule="atLeast"/>
        <w:rPr>
          <w:sz w:val="24"/>
          <w:szCs w:val="24"/>
        </w:rPr>
      </w:pPr>
      <w:r w:rsidRPr="00A66733">
        <w:rPr>
          <w:rFonts w:hint="eastAsia"/>
          <w:sz w:val="24"/>
          <w:szCs w:val="24"/>
        </w:rPr>
        <w:lastRenderedPageBreak/>
        <w:t>二、税收优惠</w:t>
      </w:r>
    </w:p>
    <w:p w14:paraId="0A585BE4" w14:textId="704B075A" w:rsidR="00A66733" w:rsidRPr="00A66733" w:rsidRDefault="00A66733" w:rsidP="00A66733">
      <w:pPr>
        <w:widowControl/>
        <w:spacing w:beforeLines="50" w:before="156" w:line="480" w:lineRule="atLeast"/>
        <w:ind w:firstLineChars="200" w:firstLine="480"/>
        <w:jc w:val="left"/>
        <w:rPr>
          <w:rFonts w:asciiTheme="minorEastAsia" w:hAnsiTheme="minorEastAsia"/>
          <w:color w:val="000000" w:themeColor="text1"/>
          <w:sz w:val="24"/>
          <w:szCs w:val="24"/>
        </w:rPr>
      </w:pPr>
      <w:r w:rsidRPr="00A66733">
        <w:rPr>
          <w:rFonts w:asciiTheme="minorEastAsia" w:hAnsiTheme="minorEastAsia" w:hint="eastAsia"/>
          <w:color w:val="000000" w:themeColor="text1"/>
          <w:sz w:val="24"/>
          <w:szCs w:val="24"/>
        </w:rPr>
        <w:t>适用本批复第一条规定在中国境内设立机构、场所取得石油天然气开采所得和其他所得的外国企业，以及适用本批复第二条规定取得石油天然气开采所得和其他所得的中外合作经营企业，符合</w:t>
      </w:r>
      <w:r w:rsidR="00996651" w:rsidRPr="00996651">
        <w:rPr>
          <w:rFonts w:hint="eastAsia"/>
          <w:color w:val="333333"/>
          <w:shd w:val="clear" w:color="auto" w:fill="FFFFFF"/>
        </w:rPr>
        <w:t>《财政部</w:t>
      </w:r>
      <w:r w:rsidR="00996651" w:rsidRPr="00996651">
        <w:rPr>
          <w:rFonts w:hint="eastAsia"/>
          <w:color w:val="333333"/>
          <w:shd w:val="clear" w:color="auto" w:fill="FFFFFF"/>
        </w:rPr>
        <w:t xml:space="preserve"> </w:t>
      </w:r>
      <w:r w:rsidR="00996651" w:rsidRPr="00996651">
        <w:rPr>
          <w:rFonts w:hint="eastAsia"/>
          <w:color w:val="333333"/>
          <w:shd w:val="clear" w:color="auto" w:fill="FFFFFF"/>
        </w:rPr>
        <w:t>海关总署</w:t>
      </w:r>
      <w:r w:rsidR="00996651" w:rsidRPr="00996651">
        <w:rPr>
          <w:rFonts w:hint="eastAsia"/>
          <w:color w:val="333333"/>
          <w:shd w:val="clear" w:color="auto" w:fill="FFFFFF"/>
        </w:rPr>
        <w:t xml:space="preserve"> </w:t>
      </w:r>
      <w:r w:rsidR="00996651" w:rsidRPr="00996651">
        <w:rPr>
          <w:rFonts w:hint="eastAsia"/>
          <w:color w:val="333333"/>
          <w:shd w:val="clear" w:color="auto" w:fill="FFFFFF"/>
        </w:rPr>
        <w:t>国家税务总局关于深入实施西部大开发战略有关税收政策问题的通知》（</w:t>
      </w:r>
      <w:hyperlink r:id="rId14" w:tgtFrame="_self" w:history="1">
        <w:r w:rsidR="00996651" w:rsidRPr="00996651">
          <w:rPr>
            <w:rFonts w:hint="eastAsia"/>
            <w:color w:val="6E6E6E"/>
            <w:u w:val="single"/>
            <w:shd w:val="clear" w:color="auto" w:fill="FFFFFF"/>
          </w:rPr>
          <w:t>财税〔</w:t>
        </w:r>
        <w:r w:rsidR="00996651" w:rsidRPr="00996651">
          <w:rPr>
            <w:rFonts w:hint="eastAsia"/>
            <w:color w:val="6E6E6E"/>
            <w:u w:val="single"/>
            <w:shd w:val="clear" w:color="auto" w:fill="FFFFFF"/>
          </w:rPr>
          <w:t>2011</w:t>
        </w:r>
        <w:r w:rsidR="00996651" w:rsidRPr="00996651">
          <w:rPr>
            <w:rFonts w:hint="eastAsia"/>
            <w:color w:val="6E6E6E"/>
            <w:u w:val="single"/>
            <w:shd w:val="clear" w:color="auto" w:fill="FFFFFF"/>
          </w:rPr>
          <w:t>〕</w:t>
        </w:r>
        <w:r w:rsidR="00996651" w:rsidRPr="00996651">
          <w:rPr>
            <w:rFonts w:hint="eastAsia"/>
            <w:color w:val="6E6E6E"/>
            <w:u w:val="single"/>
            <w:shd w:val="clear" w:color="auto" w:fill="FFFFFF"/>
          </w:rPr>
          <w:t>58</w:t>
        </w:r>
        <w:r w:rsidR="00996651" w:rsidRPr="00996651">
          <w:rPr>
            <w:rFonts w:hint="eastAsia"/>
            <w:color w:val="6E6E6E"/>
            <w:u w:val="single"/>
            <w:shd w:val="clear" w:color="auto" w:fill="FFFFFF"/>
          </w:rPr>
          <w:t>号</w:t>
        </w:r>
      </w:hyperlink>
      <w:r w:rsidR="00996651" w:rsidRPr="00996651">
        <w:rPr>
          <w:rFonts w:hint="eastAsia"/>
          <w:color w:val="333333"/>
          <w:shd w:val="clear" w:color="auto" w:fill="FFFFFF"/>
        </w:rPr>
        <w:t>）</w:t>
      </w:r>
      <w:r w:rsidRPr="00A66733">
        <w:rPr>
          <w:rFonts w:asciiTheme="minorEastAsia" w:hAnsiTheme="minorEastAsia" w:hint="eastAsia"/>
          <w:color w:val="000000" w:themeColor="text1"/>
          <w:sz w:val="24"/>
          <w:szCs w:val="24"/>
        </w:rPr>
        <w:t>规定条件的，可以享受相关企业所得税优惠。</w:t>
      </w:r>
    </w:p>
    <w:p w14:paraId="7AC9E462" w14:textId="3FA7D8D9" w:rsidR="00A66733" w:rsidRPr="00A66733" w:rsidRDefault="00A66733" w:rsidP="00A66733">
      <w:pPr>
        <w:spacing w:beforeLines="50" w:before="156" w:line="480" w:lineRule="atLeast"/>
        <w:jc w:val="right"/>
        <w:rPr>
          <w:rFonts w:asciiTheme="minorEastAsia" w:hAnsiTheme="minorEastAsia"/>
          <w:color w:val="000000" w:themeColor="text1"/>
          <w:sz w:val="24"/>
          <w:szCs w:val="24"/>
        </w:rPr>
      </w:pPr>
      <w:r w:rsidRPr="00A66733">
        <w:rPr>
          <w:rFonts w:asciiTheme="minorEastAsia" w:hAnsiTheme="minorEastAsia" w:hint="eastAsia"/>
          <w:color w:val="000000" w:themeColor="text1"/>
          <w:sz w:val="24"/>
          <w:szCs w:val="24"/>
        </w:rPr>
        <w:t>（</w:t>
      </w:r>
      <w:hyperlink r:id="rId15" w:history="1">
        <w:r w:rsidR="00996651" w:rsidRPr="00996651">
          <w:rPr>
            <w:rStyle w:val="a6"/>
            <w:rFonts w:asciiTheme="minorEastAsia" w:hAnsiTheme="minorEastAsia" w:hint="eastAsia"/>
            <w:sz w:val="24"/>
            <w:szCs w:val="24"/>
          </w:rPr>
          <w:t>税总函〔2015〕494号</w:t>
        </w:r>
      </w:hyperlink>
      <w:r w:rsidRPr="00A66733">
        <w:rPr>
          <w:rFonts w:asciiTheme="minorEastAsia" w:hAnsiTheme="minorEastAsia" w:hint="eastAsia"/>
          <w:color w:val="000000" w:themeColor="text1"/>
          <w:sz w:val="24"/>
          <w:szCs w:val="24"/>
        </w:rPr>
        <w:t>第三条）</w:t>
      </w:r>
    </w:p>
    <w:p w14:paraId="08F081BF" w14:textId="6328C7E7" w:rsidR="00E50FC2" w:rsidRPr="00A66733" w:rsidRDefault="00E50FC2" w:rsidP="00E50FC2">
      <w:pPr>
        <w:spacing w:beforeLines="50" w:before="156" w:afterLines="50" w:after="156" w:line="440" w:lineRule="atLeast"/>
        <w:jc w:val="left"/>
        <w:rPr>
          <w:rFonts w:asciiTheme="minorEastAsia" w:hAnsiTheme="minorEastAsia"/>
          <w:b/>
          <w:bCs/>
          <w:kern w:val="44"/>
          <w:sz w:val="24"/>
          <w:szCs w:val="24"/>
        </w:rPr>
      </w:pPr>
    </w:p>
    <w:p w14:paraId="2E89D5CA" w14:textId="77777777" w:rsidR="00722B79" w:rsidRPr="00E151FD" w:rsidRDefault="00722B79" w:rsidP="00E50FC2">
      <w:pPr>
        <w:spacing w:beforeLines="50" w:before="156" w:afterLines="50" w:after="156" w:line="440" w:lineRule="atLeast"/>
        <w:jc w:val="left"/>
        <w:rPr>
          <w:rFonts w:asciiTheme="minorEastAsia" w:hAnsiTheme="minorEastAsia"/>
          <w:color w:val="000000" w:themeColor="text1"/>
          <w:sz w:val="24"/>
          <w:szCs w:val="24"/>
          <w:shd w:val="clear" w:color="auto" w:fill="FFFFFF"/>
        </w:rPr>
      </w:pPr>
    </w:p>
    <w:sectPr w:rsidR="00722B79" w:rsidRPr="00E151FD">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DEC01" w14:textId="77777777" w:rsidR="00F821AC" w:rsidRDefault="00F821AC" w:rsidP="008D63C6">
      <w:r>
        <w:separator/>
      </w:r>
    </w:p>
  </w:endnote>
  <w:endnote w:type="continuationSeparator" w:id="0">
    <w:p w14:paraId="491D3213" w14:textId="77777777" w:rsidR="00F821AC" w:rsidRDefault="00F821AC"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96651">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96651">
              <w:rPr>
                <w:b/>
                <w:bCs/>
                <w:noProof/>
              </w:rPr>
              <w:t>2</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4A8CF" w14:textId="77777777" w:rsidR="00F821AC" w:rsidRDefault="00F821AC" w:rsidP="008D63C6">
      <w:r>
        <w:separator/>
      </w:r>
    </w:p>
  </w:footnote>
  <w:footnote w:type="continuationSeparator" w:id="0">
    <w:p w14:paraId="6E3AAA45" w14:textId="77777777" w:rsidR="00F821AC" w:rsidRDefault="00F821AC"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3150B"/>
    <w:rsid w:val="00047B96"/>
    <w:rsid w:val="00061CAA"/>
    <w:rsid w:val="0006252E"/>
    <w:rsid w:val="000665B5"/>
    <w:rsid w:val="00067B3F"/>
    <w:rsid w:val="00076DF4"/>
    <w:rsid w:val="00086BDF"/>
    <w:rsid w:val="000A1580"/>
    <w:rsid w:val="000A7A38"/>
    <w:rsid w:val="000C328F"/>
    <w:rsid w:val="000C75B4"/>
    <w:rsid w:val="000D0CF3"/>
    <w:rsid w:val="000E06BC"/>
    <w:rsid w:val="000E1550"/>
    <w:rsid w:val="000F38B4"/>
    <w:rsid w:val="000F6FDA"/>
    <w:rsid w:val="0010501A"/>
    <w:rsid w:val="00106154"/>
    <w:rsid w:val="00106209"/>
    <w:rsid w:val="0012077A"/>
    <w:rsid w:val="00124CCD"/>
    <w:rsid w:val="00130581"/>
    <w:rsid w:val="00133462"/>
    <w:rsid w:val="0013371B"/>
    <w:rsid w:val="00140381"/>
    <w:rsid w:val="00140B0D"/>
    <w:rsid w:val="00143735"/>
    <w:rsid w:val="00150C87"/>
    <w:rsid w:val="00153E93"/>
    <w:rsid w:val="001773B2"/>
    <w:rsid w:val="001825B2"/>
    <w:rsid w:val="00186F69"/>
    <w:rsid w:val="001879D1"/>
    <w:rsid w:val="001C2D0D"/>
    <w:rsid w:val="001C7D09"/>
    <w:rsid w:val="001D0FB8"/>
    <w:rsid w:val="001F3F0A"/>
    <w:rsid w:val="00204AE5"/>
    <w:rsid w:val="00204EA7"/>
    <w:rsid w:val="0022780B"/>
    <w:rsid w:val="0023101A"/>
    <w:rsid w:val="00236C8E"/>
    <w:rsid w:val="00264D0E"/>
    <w:rsid w:val="00265081"/>
    <w:rsid w:val="002822B7"/>
    <w:rsid w:val="002851A2"/>
    <w:rsid w:val="0028652D"/>
    <w:rsid w:val="002A17AF"/>
    <w:rsid w:val="002B4C24"/>
    <w:rsid w:val="002B633B"/>
    <w:rsid w:val="002C2AD2"/>
    <w:rsid w:val="002D4CDD"/>
    <w:rsid w:val="002E1AF6"/>
    <w:rsid w:val="002F50D4"/>
    <w:rsid w:val="003006A6"/>
    <w:rsid w:val="00314940"/>
    <w:rsid w:val="00315E01"/>
    <w:rsid w:val="003163EC"/>
    <w:rsid w:val="00322E87"/>
    <w:rsid w:val="00331725"/>
    <w:rsid w:val="003409FD"/>
    <w:rsid w:val="003420C2"/>
    <w:rsid w:val="0034249D"/>
    <w:rsid w:val="003704C5"/>
    <w:rsid w:val="003773C5"/>
    <w:rsid w:val="00390245"/>
    <w:rsid w:val="00393942"/>
    <w:rsid w:val="00394538"/>
    <w:rsid w:val="003A058E"/>
    <w:rsid w:val="003A3829"/>
    <w:rsid w:val="003A3D20"/>
    <w:rsid w:val="003B1B3A"/>
    <w:rsid w:val="003C3CD3"/>
    <w:rsid w:val="003D4A0F"/>
    <w:rsid w:val="003D584F"/>
    <w:rsid w:val="003E7611"/>
    <w:rsid w:val="0040090E"/>
    <w:rsid w:val="0040440C"/>
    <w:rsid w:val="00416ED8"/>
    <w:rsid w:val="00421607"/>
    <w:rsid w:val="004271D7"/>
    <w:rsid w:val="00430AEE"/>
    <w:rsid w:val="00436332"/>
    <w:rsid w:val="00437926"/>
    <w:rsid w:val="00441889"/>
    <w:rsid w:val="004561D7"/>
    <w:rsid w:val="00462FF2"/>
    <w:rsid w:val="0047122A"/>
    <w:rsid w:val="004A7DDE"/>
    <w:rsid w:val="004B6E8F"/>
    <w:rsid w:val="004E128D"/>
    <w:rsid w:val="004E49D2"/>
    <w:rsid w:val="004F392F"/>
    <w:rsid w:val="005111C0"/>
    <w:rsid w:val="00511D96"/>
    <w:rsid w:val="00523E2F"/>
    <w:rsid w:val="005304E2"/>
    <w:rsid w:val="00537AEA"/>
    <w:rsid w:val="005435A5"/>
    <w:rsid w:val="0055018E"/>
    <w:rsid w:val="00551C83"/>
    <w:rsid w:val="00552C76"/>
    <w:rsid w:val="005536F0"/>
    <w:rsid w:val="00555221"/>
    <w:rsid w:val="00557686"/>
    <w:rsid w:val="00567FD4"/>
    <w:rsid w:val="005710C5"/>
    <w:rsid w:val="00577B68"/>
    <w:rsid w:val="00586093"/>
    <w:rsid w:val="005B13D2"/>
    <w:rsid w:val="005D00CA"/>
    <w:rsid w:val="005E47E7"/>
    <w:rsid w:val="005F7599"/>
    <w:rsid w:val="00603F42"/>
    <w:rsid w:val="00604838"/>
    <w:rsid w:val="006165C7"/>
    <w:rsid w:val="00626FAD"/>
    <w:rsid w:val="00627995"/>
    <w:rsid w:val="006309F4"/>
    <w:rsid w:val="006334B8"/>
    <w:rsid w:val="006359FA"/>
    <w:rsid w:val="00647FAE"/>
    <w:rsid w:val="0065697B"/>
    <w:rsid w:val="0066072D"/>
    <w:rsid w:val="006608FA"/>
    <w:rsid w:val="006634AA"/>
    <w:rsid w:val="00665221"/>
    <w:rsid w:val="00670E0F"/>
    <w:rsid w:val="0067150F"/>
    <w:rsid w:val="00672948"/>
    <w:rsid w:val="00677107"/>
    <w:rsid w:val="006839E6"/>
    <w:rsid w:val="006979BE"/>
    <w:rsid w:val="006A1773"/>
    <w:rsid w:val="006A20C9"/>
    <w:rsid w:val="006A6936"/>
    <w:rsid w:val="006C3369"/>
    <w:rsid w:val="006C55BD"/>
    <w:rsid w:val="006D1375"/>
    <w:rsid w:val="006E3156"/>
    <w:rsid w:val="006E3A4E"/>
    <w:rsid w:val="00702666"/>
    <w:rsid w:val="00706E75"/>
    <w:rsid w:val="00721EF7"/>
    <w:rsid w:val="00722B79"/>
    <w:rsid w:val="00724F30"/>
    <w:rsid w:val="00726CEF"/>
    <w:rsid w:val="007273FC"/>
    <w:rsid w:val="0073415B"/>
    <w:rsid w:val="00740A21"/>
    <w:rsid w:val="00751B4A"/>
    <w:rsid w:val="007559E6"/>
    <w:rsid w:val="007627E4"/>
    <w:rsid w:val="007713A7"/>
    <w:rsid w:val="00782523"/>
    <w:rsid w:val="00791439"/>
    <w:rsid w:val="007A10F1"/>
    <w:rsid w:val="007B52AF"/>
    <w:rsid w:val="007B6D37"/>
    <w:rsid w:val="007E52D4"/>
    <w:rsid w:val="00811AD7"/>
    <w:rsid w:val="00821BDC"/>
    <w:rsid w:val="00835123"/>
    <w:rsid w:val="00836465"/>
    <w:rsid w:val="008458CF"/>
    <w:rsid w:val="00846A4B"/>
    <w:rsid w:val="00846BFB"/>
    <w:rsid w:val="00846FA3"/>
    <w:rsid w:val="00866AC6"/>
    <w:rsid w:val="00867863"/>
    <w:rsid w:val="00871FAF"/>
    <w:rsid w:val="0088137A"/>
    <w:rsid w:val="00890BDB"/>
    <w:rsid w:val="0089595C"/>
    <w:rsid w:val="008A13A6"/>
    <w:rsid w:val="008A6E0E"/>
    <w:rsid w:val="008C4CAF"/>
    <w:rsid w:val="008D59E0"/>
    <w:rsid w:val="008D63C6"/>
    <w:rsid w:val="008E6AE2"/>
    <w:rsid w:val="008E75B2"/>
    <w:rsid w:val="008F4E32"/>
    <w:rsid w:val="008F50DF"/>
    <w:rsid w:val="008F5C3A"/>
    <w:rsid w:val="008F7C31"/>
    <w:rsid w:val="0090097C"/>
    <w:rsid w:val="00903C04"/>
    <w:rsid w:val="00905AC6"/>
    <w:rsid w:val="00907F32"/>
    <w:rsid w:val="00911E35"/>
    <w:rsid w:val="00922F60"/>
    <w:rsid w:val="009249DE"/>
    <w:rsid w:val="00927F77"/>
    <w:rsid w:val="009524C2"/>
    <w:rsid w:val="00960244"/>
    <w:rsid w:val="00960390"/>
    <w:rsid w:val="00962448"/>
    <w:rsid w:val="00977D8B"/>
    <w:rsid w:val="00986C5A"/>
    <w:rsid w:val="00990092"/>
    <w:rsid w:val="00996651"/>
    <w:rsid w:val="00996C19"/>
    <w:rsid w:val="009A1880"/>
    <w:rsid w:val="009A1F5F"/>
    <w:rsid w:val="009C5CF4"/>
    <w:rsid w:val="009C743F"/>
    <w:rsid w:val="009D5B3A"/>
    <w:rsid w:val="009E18C9"/>
    <w:rsid w:val="00A044CC"/>
    <w:rsid w:val="00A06195"/>
    <w:rsid w:val="00A1440A"/>
    <w:rsid w:val="00A25C9F"/>
    <w:rsid w:val="00A27AE2"/>
    <w:rsid w:val="00A3468D"/>
    <w:rsid w:val="00A42333"/>
    <w:rsid w:val="00A53628"/>
    <w:rsid w:val="00A57416"/>
    <w:rsid w:val="00A57BD6"/>
    <w:rsid w:val="00A66733"/>
    <w:rsid w:val="00A73CD1"/>
    <w:rsid w:val="00A754F0"/>
    <w:rsid w:val="00A91435"/>
    <w:rsid w:val="00A96738"/>
    <w:rsid w:val="00AA3D33"/>
    <w:rsid w:val="00AA70A7"/>
    <w:rsid w:val="00AB4814"/>
    <w:rsid w:val="00AB5A09"/>
    <w:rsid w:val="00AC3F64"/>
    <w:rsid w:val="00AC536B"/>
    <w:rsid w:val="00AD0622"/>
    <w:rsid w:val="00AE0E17"/>
    <w:rsid w:val="00AF5778"/>
    <w:rsid w:val="00AF798D"/>
    <w:rsid w:val="00B066DC"/>
    <w:rsid w:val="00B16CF6"/>
    <w:rsid w:val="00B17265"/>
    <w:rsid w:val="00B23E50"/>
    <w:rsid w:val="00B33E8A"/>
    <w:rsid w:val="00B405D3"/>
    <w:rsid w:val="00B66C22"/>
    <w:rsid w:val="00B67EDF"/>
    <w:rsid w:val="00B75762"/>
    <w:rsid w:val="00B86D1F"/>
    <w:rsid w:val="00B91B75"/>
    <w:rsid w:val="00B93445"/>
    <w:rsid w:val="00B94D41"/>
    <w:rsid w:val="00BA2DBA"/>
    <w:rsid w:val="00BA4508"/>
    <w:rsid w:val="00BA4FC1"/>
    <w:rsid w:val="00BC45DB"/>
    <w:rsid w:val="00BC5EB2"/>
    <w:rsid w:val="00BD0510"/>
    <w:rsid w:val="00BD42BB"/>
    <w:rsid w:val="00BE59A8"/>
    <w:rsid w:val="00BF26AE"/>
    <w:rsid w:val="00BF3001"/>
    <w:rsid w:val="00BF3704"/>
    <w:rsid w:val="00BF4AAA"/>
    <w:rsid w:val="00C01526"/>
    <w:rsid w:val="00C02227"/>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D0A63"/>
    <w:rsid w:val="00CD22C8"/>
    <w:rsid w:val="00CD278B"/>
    <w:rsid w:val="00CE17B0"/>
    <w:rsid w:val="00CE2032"/>
    <w:rsid w:val="00CE7FDB"/>
    <w:rsid w:val="00CF2762"/>
    <w:rsid w:val="00D116FD"/>
    <w:rsid w:val="00D206C3"/>
    <w:rsid w:val="00D238CC"/>
    <w:rsid w:val="00D2431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B7ADE"/>
    <w:rsid w:val="00DC0CBB"/>
    <w:rsid w:val="00DC190F"/>
    <w:rsid w:val="00DD1743"/>
    <w:rsid w:val="00DD1CA3"/>
    <w:rsid w:val="00DE6113"/>
    <w:rsid w:val="00DF2592"/>
    <w:rsid w:val="00DF51FF"/>
    <w:rsid w:val="00E015BF"/>
    <w:rsid w:val="00E151FD"/>
    <w:rsid w:val="00E15C72"/>
    <w:rsid w:val="00E16250"/>
    <w:rsid w:val="00E166E3"/>
    <w:rsid w:val="00E20C1F"/>
    <w:rsid w:val="00E22101"/>
    <w:rsid w:val="00E35ADF"/>
    <w:rsid w:val="00E45626"/>
    <w:rsid w:val="00E47AE1"/>
    <w:rsid w:val="00E50FC2"/>
    <w:rsid w:val="00E54CBE"/>
    <w:rsid w:val="00E67710"/>
    <w:rsid w:val="00E76EED"/>
    <w:rsid w:val="00EA120E"/>
    <w:rsid w:val="00EA1BA1"/>
    <w:rsid w:val="00EB349F"/>
    <w:rsid w:val="00EC533D"/>
    <w:rsid w:val="00EE7993"/>
    <w:rsid w:val="00EF1B16"/>
    <w:rsid w:val="00F01C8E"/>
    <w:rsid w:val="00F03A07"/>
    <w:rsid w:val="00F0630D"/>
    <w:rsid w:val="00F11662"/>
    <w:rsid w:val="00F12A62"/>
    <w:rsid w:val="00F2128B"/>
    <w:rsid w:val="00F22643"/>
    <w:rsid w:val="00F2659C"/>
    <w:rsid w:val="00F35DBF"/>
    <w:rsid w:val="00F45A6F"/>
    <w:rsid w:val="00F51D5A"/>
    <w:rsid w:val="00F53E80"/>
    <w:rsid w:val="00F57C18"/>
    <w:rsid w:val="00F71FA5"/>
    <w:rsid w:val="00F769DF"/>
    <w:rsid w:val="00F76D8C"/>
    <w:rsid w:val="00F821A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93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fb86.com/index/News/detail/newsid/57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931.html" TargetMode="External"/><Relationship Id="rId5" Type="http://schemas.openxmlformats.org/officeDocument/2006/relationships/settings" Target="settings.xml"/><Relationship Id="rId15" Type="http://schemas.openxmlformats.org/officeDocument/2006/relationships/hyperlink" Target="http://ssfb86.com/index/News/detail/newsid/931.html" TargetMode="External"/><Relationship Id="rId10" Type="http://schemas.openxmlformats.org/officeDocument/2006/relationships/hyperlink" Target="http://ssfb86.com/index/News/detail/newsid/575.html" TargetMode="Externa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171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82362-8B7C-49A5-82D2-55660931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2020-07-09T02:36:00Z</dcterms:created>
  <dcterms:modified xsi:type="dcterms:W3CDTF">2020-10-15T08:30:00Z</dcterms:modified>
</cp:coreProperties>
</file>