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hint="eastAsia"/>
          <w:color w:val="333333"/>
        </w:rPr>
      </w:pPr>
    </w:p>
    <w:p w14:paraId="39CF8FEB" w14:textId="4447C635" w:rsidR="00F57C18" w:rsidRDefault="0060274D" w:rsidP="00B85160">
      <w:pPr>
        <w:jc w:val="center"/>
        <w:rPr>
          <w:rFonts w:asciiTheme="minorEastAsia" w:hAnsiTheme="minorEastAsia"/>
          <w:sz w:val="44"/>
          <w:szCs w:val="44"/>
        </w:rPr>
      </w:pPr>
      <w:r>
        <w:rPr>
          <w:rFonts w:asciiTheme="minorEastAsia" w:hAnsiTheme="minorEastAsia"/>
          <w:sz w:val="44"/>
          <w:szCs w:val="44"/>
        </w:rPr>
        <w:t>6</w:t>
      </w:r>
      <w:r w:rsidR="00157D91">
        <w:rPr>
          <w:rFonts w:asciiTheme="minorEastAsia" w:hAnsiTheme="minorEastAsia"/>
          <w:sz w:val="44"/>
          <w:szCs w:val="44"/>
        </w:rPr>
        <w:t>.</w:t>
      </w:r>
      <w:r w:rsidR="0090009C">
        <w:rPr>
          <w:rFonts w:asciiTheme="minorEastAsia" w:hAnsiTheme="minorEastAsia"/>
          <w:sz w:val="44"/>
          <w:szCs w:val="44"/>
        </w:rPr>
        <w:t>2</w:t>
      </w:r>
      <w:r w:rsidR="00C044BE">
        <w:rPr>
          <w:rFonts w:asciiTheme="minorEastAsia" w:hAnsiTheme="minorEastAsia"/>
          <w:sz w:val="44"/>
          <w:szCs w:val="44"/>
        </w:rPr>
        <w:t>.</w:t>
      </w:r>
      <w:r w:rsidR="00F34803">
        <w:rPr>
          <w:rFonts w:asciiTheme="minorEastAsia" w:hAnsiTheme="minorEastAsia"/>
          <w:sz w:val="44"/>
          <w:szCs w:val="44"/>
        </w:rPr>
        <w:t>1</w:t>
      </w:r>
      <w:r w:rsidR="00B85160" w:rsidRPr="00B85160">
        <w:rPr>
          <w:rFonts w:asciiTheme="minorEastAsia" w:hAnsiTheme="minorEastAsia"/>
          <w:sz w:val="44"/>
          <w:szCs w:val="44"/>
        </w:rPr>
        <w:t xml:space="preserve">  </w:t>
      </w:r>
      <w:r w:rsidR="00F34803" w:rsidRPr="00F34803">
        <w:rPr>
          <w:rFonts w:asciiTheme="minorEastAsia" w:hAnsiTheme="minorEastAsia" w:hint="eastAsia"/>
          <w:sz w:val="44"/>
          <w:szCs w:val="44"/>
        </w:rPr>
        <w:t>个人所得税管理办法</w:t>
      </w:r>
    </w:p>
    <w:p w14:paraId="668D95C9" w14:textId="7E5699CB" w:rsidR="007625FB" w:rsidRDefault="007625FB" w:rsidP="009251DE">
      <w:pPr>
        <w:spacing w:beforeLines="50" w:before="156" w:line="480" w:lineRule="atLeast"/>
        <w:rPr>
          <w:b/>
          <w:bCs/>
          <w:color w:val="000000" w:themeColor="text1"/>
          <w:kern w:val="44"/>
          <w:sz w:val="24"/>
          <w:szCs w:val="24"/>
        </w:rPr>
      </w:pPr>
    </w:p>
    <w:p w14:paraId="0761E631" w14:textId="0E8DE2DE" w:rsidR="00F34803" w:rsidRPr="00897803" w:rsidRDefault="00897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897803">
        <w:rPr>
          <w:rFonts w:asciiTheme="minorHAnsi" w:eastAsiaTheme="minorEastAsia" w:hAnsiTheme="minorHAnsi" w:cstheme="minorBidi" w:hint="eastAsia"/>
          <w:color w:val="333333"/>
          <w:kern w:val="2"/>
          <w:shd w:val="clear" w:color="auto" w:fill="FFFFFF"/>
        </w:rPr>
        <w:t>为了进一步加强和规范税务机关对个人所得税的征收管理，促进个人所得税征管的科学化、精细化，不断提高征管效率和质量，根据《</w:t>
      </w:r>
      <w:hyperlink r:id="rId7" w:tgtFrame="_self" w:history="1">
        <w:r w:rsidRPr="00897803">
          <w:rPr>
            <w:rFonts w:asciiTheme="minorHAnsi" w:eastAsiaTheme="minorEastAsia" w:hAnsiTheme="minorHAnsi" w:cstheme="minorBidi" w:hint="eastAsia"/>
            <w:color w:val="6E6E6E"/>
            <w:kern w:val="2"/>
            <w:u w:val="single"/>
            <w:shd w:val="clear" w:color="auto" w:fill="FFFFFF"/>
          </w:rPr>
          <w:t>中华人民共和国个人所得税法</w:t>
        </w:r>
      </w:hyperlink>
      <w:r w:rsidRPr="00897803">
        <w:rPr>
          <w:rFonts w:asciiTheme="minorHAnsi" w:eastAsiaTheme="minorEastAsia" w:hAnsiTheme="minorHAnsi" w:cstheme="minorBidi" w:hint="eastAsia"/>
          <w:color w:val="333333"/>
          <w:kern w:val="2"/>
          <w:shd w:val="clear" w:color="auto" w:fill="FFFFFF"/>
        </w:rPr>
        <w:t>》（以下简称</w:t>
      </w:r>
      <w:hyperlink r:id="rId8" w:tgtFrame="_self" w:history="1">
        <w:r w:rsidRPr="00897803">
          <w:rPr>
            <w:rFonts w:asciiTheme="minorHAnsi" w:eastAsiaTheme="minorEastAsia" w:hAnsiTheme="minorHAnsi" w:cstheme="minorBidi" w:hint="eastAsia"/>
            <w:color w:val="6E6E6E"/>
            <w:kern w:val="2"/>
            <w:u w:val="single"/>
            <w:shd w:val="clear" w:color="auto" w:fill="FFFFFF"/>
          </w:rPr>
          <w:t>税法</w:t>
        </w:r>
      </w:hyperlink>
      <w:r w:rsidRPr="00897803">
        <w:rPr>
          <w:rFonts w:asciiTheme="minorHAnsi" w:eastAsiaTheme="minorEastAsia" w:hAnsiTheme="minorHAnsi" w:cstheme="minorBidi" w:hint="eastAsia"/>
          <w:color w:val="333333"/>
          <w:kern w:val="2"/>
          <w:shd w:val="clear" w:color="auto" w:fill="FFFFFF"/>
        </w:rPr>
        <w:t>）、《中华人民共和国税收征收管理法》（以下简称</w:t>
      </w:r>
      <w:hyperlink r:id="rId9" w:tgtFrame="_self" w:history="1">
        <w:r w:rsidRPr="00897803">
          <w:rPr>
            <w:rFonts w:asciiTheme="minorHAnsi" w:eastAsiaTheme="minorEastAsia" w:hAnsiTheme="minorHAnsi" w:cstheme="minorBidi" w:hint="eastAsia"/>
            <w:color w:val="6E6E6E"/>
            <w:kern w:val="2"/>
            <w:u w:val="single"/>
            <w:shd w:val="clear" w:color="auto" w:fill="FFFFFF"/>
          </w:rPr>
          <w:t>征管法</w:t>
        </w:r>
      </w:hyperlink>
      <w:r w:rsidRPr="00897803">
        <w:rPr>
          <w:rFonts w:asciiTheme="minorHAnsi" w:eastAsiaTheme="minorEastAsia" w:hAnsiTheme="minorHAnsi" w:cstheme="minorBidi" w:hint="eastAsia"/>
          <w:color w:val="333333"/>
          <w:kern w:val="2"/>
          <w:shd w:val="clear" w:color="auto" w:fill="FFFFFF"/>
        </w:rPr>
        <w:t>）及有关税收法律法规规定，制定本办法</w:t>
      </w:r>
      <w:r w:rsidR="00F34803" w:rsidRPr="00897803">
        <w:rPr>
          <w:rFonts w:asciiTheme="minorEastAsia" w:eastAsiaTheme="minorEastAsia" w:hAnsiTheme="minorEastAsia" w:hint="eastAsia"/>
          <w:color w:val="000000" w:themeColor="text1"/>
        </w:rPr>
        <w:t>。</w:t>
      </w:r>
    </w:p>
    <w:p w14:paraId="51C8A75D" w14:textId="7E210F8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bookmarkStart w:id="0" w:name="_Hlk54010379"/>
      <w:r w:rsidR="00736D3A">
        <w:rPr>
          <w:rFonts w:asciiTheme="minorEastAsia" w:eastAsiaTheme="minorEastAsia" w:hAnsiTheme="minorEastAsia"/>
        </w:rPr>
        <w:fldChar w:fldCharType="begin"/>
      </w:r>
      <w:r w:rsidR="00736D3A">
        <w:rPr>
          <w:rFonts w:asciiTheme="minorEastAsia" w:eastAsiaTheme="minorEastAsia" w:hAnsiTheme="minorEastAsia"/>
        </w:rPr>
        <w:instrText xml:space="preserve"> HYPERLINK "http://ssfb86.com/index/News/detail/newsid/3260.html" </w:instrText>
      </w:r>
      <w:r w:rsidR="00736D3A">
        <w:rPr>
          <w:rFonts w:asciiTheme="minorEastAsia" w:eastAsiaTheme="minorEastAsia" w:hAnsiTheme="minorEastAsia"/>
        </w:rPr>
      </w:r>
      <w:r w:rsidR="00736D3A">
        <w:rPr>
          <w:rFonts w:asciiTheme="minorEastAsia" w:eastAsiaTheme="minorEastAsia" w:hAnsiTheme="minorEastAsia"/>
        </w:rPr>
        <w:fldChar w:fldCharType="separate"/>
      </w:r>
      <w:r w:rsidRPr="00736D3A">
        <w:rPr>
          <w:rStyle w:val="a8"/>
          <w:rFonts w:asciiTheme="minorEastAsia" w:eastAsiaTheme="minorEastAsia" w:hAnsiTheme="minorEastAsia" w:hint="eastAsia"/>
        </w:rPr>
        <w:t>国税发[2005]120号</w:t>
      </w:r>
      <w:r w:rsidR="00736D3A">
        <w:rPr>
          <w:rFonts w:asciiTheme="minorEastAsia" w:eastAsiaTheme="minorEastAsia" w:hAnsiTheme="minorEastAsia"/>
        </w:rPr>
        <w:fldChar w:fldCharType="end"/>
      </w:r>
      <w:bookmarkEnd w:id="0"/>
      <w:r w:rsidRPr="00F34803">
        <w:rPr>
          <w:rFonts w:asciiTheme="minorEastAsia" w:eastAsiaTheme="minorEastAsia" w:hAnsiTheme="minorEastAsia" w:hint="eastAsia"/>
          <w:b/>
          <w:color w:val="000000" w:themeColor="text1"/>
        </w:rPr>
        <w:t>第一条）</w:t>
      </w:r>
    </w:p>
    <w:p w14:paraId="19C9722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加强和规范个人所得税征管，要着力健全管理制度，完善征管手段，突出管理重点。即要建立个人收入档案管理制度、代扣代缴明细账制度、纳税人与扣缴义务人向税务机关双向申报制度、与社会各部门配合的协税制度；尽快研发应用统一的个人所得税管理信息系统，充分利用信息技术手段加强个人所得税管理；切实加强高收入者的重点管理、税源的源泉管理、全员全额管理。</w:t>
      </w:r>
    </w:p>
    <w:p w14:paraId="602D1410" w14:textId="164A472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第二条）</w:t>
      </w:r>
    </w:p>
    <w:p w14:paraId="3C67981C"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1" w:name="_Toc13327838"/>
      <w:r w:rsidRPr="00F34803">
        <w:rPr>
          <w:rFonts w:asciiTheme="minorEastAsia" w:hAnsiTheme="minorEastAsia" w:hint="eastAsia"/>
          <w:color w:val="000000" w:themeColor="text1"/>
          <w:sz w:val="24"/>
          <w:szCs w:val="24"/>
        </w:rPr>
        <w:t>一、个人收入档案管理制度</w:t>
      </w:r>
      <w:bookmarkEnd w:id="1"/>
    </w:p>
    <w:p w14:paraId="6D432C0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个人收入档案管理制度是指，税务机关按照要求对每个纳税人的个人基本信息、收入和纳税信息以及相关信息建立档案，并对其实施动态管理的一项制度。</w:t>
      </w:r>
    </w:p>
    <w:p w14:paraId="44FD2225" w14:textId="7D0B297A"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1"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第三条）</w:t>
      </w:r>
    </w:p>
    <w:p w14:paraId="3E13CD5E"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 w:name="_Toc13327839"/>
      <w:r w:rsidRPr="00F34803">
        <w:rPr>
          <w:rFonts w:asciiTheme="minorEastAsia" w:eastAsiaTheme="minorEastAsia" w:hAnsiTheme="minorEastAsia" w:hint="eastAsia"/>
          <w:color w:val="000000" w:themeColor="text1"/>
          <w:sz w:val="24"/>
          <w:szCs w:val="24"/>
        </w:rPr>
        <w:t>（一）省以下（含省级）各级税务机关的管理部门应当按照规定逐步对每个纳税人建立收入和纳税档案，实施“一户式”的动态管理。</w:t>
      </w:r>
      <w:bookmarkEnd w:id="2"/>
    </w:p>
    <w:p w14:paraId="18BA6684" w14:textId="3FABB0BB"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第四条）</w:t>
      </w:r>
    </w:p>
    <w:p w14:paraId="41FBA7D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省以下（含省级）各级税务机关的管理部门应区别不同类型纳税人，并按以下内容建立相应的基础信息档案：</w:t>
      </w:r>
    </w:p>
    <w:p w14:paraId="6E631E20" w14:textId="2C4F9BB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lastRenderedPageBreak/>
        <w:t>（</w:t>
      </w:r>
      <w:hyperlink r:id="rId1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第五条）</w:t>
      </w:r>
    </w:p>
    <w:p w14:paraId="6B8799D9"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3" w:name="_Toc13327840"/>
      <w:r w:rsidRPr="00F34803">
        <w:rPr>
          <w:rFonts w:asciiTheme="minorEastAsia" w:hAnsiTheme="minorEastAsia" w:hint="eastAsia"/>
          <w:color w:val="000000" w:themeColor="text1"/>
          <w:sz w:val="24"/>
          <w:szCs w:val="24"/>
        </w:rPr>
        <w:t>1</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雇员纳税人（不含股东、投资者、外籍人员）的档案内容包括：</w:t>
      </w:r>
      <w:bookmarkEnd w:id="3"/>
    </w:p>
    <w:p w14:paraId="4C260D25"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姓名、身份证照类型、身份证照号码、学历、职业、职务、电子邮箱地址、有效联系电话、有效通信地址、邮政编码、户籍所在地、扣缴义务人编码、是否重点纳税人。</w:t>
      </w:r>
    </w:p>
    <w:p w14:paraId="6AD33342" w14:textId="4E06BD1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bookmarkStart w:id="4" w:name="_Hlk13317665"/>
      <w:r w:rsidRPr="00F34803">
        <w:rPr>
          <w:rFonts w:asciiTheme="minorEastAsia" w:eastAsiaTheme="minorEastAsia" w:hAnsiTheme="minorEastAsia" w:hint="eastAsia"/>
          <w:b/>
          <w:color w:val="000000" w:themeColor="text1"/>
        </w:rPr>
        <w:t>（</w:t>
      </w:r>
      <w:hyperlink r:id="rId1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第五条第一款）</w:t>
      </w:r>
    </w:p>
    <w:p w14:paraId="43625D9E"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5" w:name="_Toc13327841"/>
      <w:bookmarkEnd w:id="4"/>
      <w:r w:rsidRPr="00F34803">
        <w:rPr>
          <w:rFonts w:asciiTheme="minorEastAsia" w:hAnsiTheme="minorEastAsia" w:hint="eastAsia"/>
          <w:color w:val="000000" w:themeColor="text1"/>
          <w:sz w:val="24"/>
          <w:szCs w:val="24"/>
        </w:rPr>
        <w:t>2</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非雇员纳税人（不含股东、投资者）的档案内容包括：</w:t>
      </w:r>
      <w:bookmarkEnd w:id="5"/>
    </w:p>
    <w:p w14:paraId="2FAE4CF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姓名、身份证照类型、身份证照号码、电子邮箱地址、有效联系电话、有效通信地址（工作单位或家庭地址）、邮政编码、工作单位名称、扣缴义务人编码、是否重点纳税人。</w:t>
      </w:r>
    </w:p>
    <w:p w14:paraId="4CCA8B86" w14:textId="586B4CC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5"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第五条第二款）</w:t>
      </w:r>
    </w:p>
    <w:p w14:paraId="11576295"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6" w:name="_Toc13327842"/>
      <w:r w:rsidRPr="00F34803">
        <w:rPr>
          <w:rFonts w:asciiTheme="minorEastAsia" w:hAnsiTheme="minorEastAsia" w:hint="eastAsia"/>
          <w:color w:val="000000" w:themeColor="text1"/>
          <w:sz w:val="24"/>
          <w:szCs w:val="24"/>
        </w:rPr>
        <w:t>3</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股东、投资者（不含个人独资、合伙企业投资者）的档案内容包括：</w:t>
      </w:r>
      <w:bookmarkEnd w:id="6"/>
    </w:p>
    <w:p w14:paraId="606DABDE"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姓名、国籍、身份证照类型、身份证照号码、有效通讯地址、邮政编码、户籍所在地、有效联系电话、电子邮箱地址、公司股本（投资）总额、个人股本（投资）额、扣缴义务人编码、是否重点纳税人。</w:t>
      </w:r>
    </w:p>
    <w:p w14:paraId="6A675743" w14:textId="030F573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6"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第五条第三款）</w:t>
      </w:r>
    </w:p>
    <w:p w14:paraId="198B8999"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7" w:name="_Toc13327843"/>
      <w:r w:rsidRPr="00F34803">
        <w:rPr>
          <w:rFonts w:asciiTheme="minorEastAsia" w:hAnsiTheme="minorEastAsia" w:hint="eastAsia"/>
          <w:color w:val="000000" w:themeColor="text1"/>
          <w:sz w:val="24"/>
          <w:szCs w:val="24"/>
        </w:rPr>
        <w:t>4</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个人独资、合伙企业投资者、个体工商户、对企事业单位的承包承租经营人的档案内容包括：</w:t>
      </w:r>
      <w:bookmarkEnd w:id="7"/>
    </w:p>
    <w:p w14:paraId="192A676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姓名、身份证照类型、身份证照号码、个体工商户（或个人独资企业、合伙企业、承包承租企事业单位）名称，经济类型、行业、经营地址、邮政编码、有效联系电话、税务登记证号码、电子邮箱地址、所得税征收方式（核定、查账）、主管税务机关、是否重点纳税人。</w:t>
      </w:r>
    </w:p>
    <w:p w14:paraId="0ACDDCCC" w14:textId="1C6D1C0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7"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第五条第四款）</w:t>
      </w:r>
    </w:p>
    <w:p w14:paraId="169C33B0"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8" w:name="_Toc13327844"/>
      <w:r w:rsidRPr="00F34803">
        <w:rPr>
          <w:rFonts w:asciiTheme="minorEastAsia" w:hAnsiTheme="minorEastAsia" w:hint="eastAsia"/>
          <w:color w:val="000000" w:themeColor="text1"/>
          <w:sz w:val="24"/>
          <w:szCs w:val="24"/>
        </w:rPr>
        <w:lastRenderedPageBreak/>
        <w:t>5</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外籍人员（含雇员和非雇员）的档案内容包括：</w:t>
      </w:r>
      <w:bookmarkEnd w:id="8"/>
    </w:p>
    <w:p w14:paraId="0177958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纳税人编码、姓名（中、英文）、性别、出生地（中、英文）、出生年月、境外地址（中、英文）、国籍或地区、身份证照类型、身份证照号码、居留许可号码（或台胞证号码、回乡证号码）、劳动就业证号码、职业、境内职务、境外职务、入境时间、任职期限、预计在华时间、预计离境时间、境内任职单位名称及税务登记证号码、境内任职单位地址、邮政编码、联系电话、其他任职单位（也应包括地址、电话、联系方式）名称及税务登记证号码、境内受聘或签约单位名称及税务登记证号码、地址、邮政编码、联系电话、境外派遣单位名称（中、英文）、境外派遣单位地址（中、英文）、支付地（包括境内支付还是境外支付）、是否重点纳税人。</w:t>
      </w:r>
    </w:p>
    <w:p w14:paraId="63B0CE95" w14:textId="1C70033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bookmarkStart w:id="9" w:name="_Hlk54010585"/>
      <w:r w:rsidR="00736D3A">
        <w:rPr>
          <w:rFonts w:asciiTheme="minorEastAsia" w:eastAsiaTheme="minorEastAsia" w:hAnsiTheme="minorEastAsia"/>
        </w:rPr>
        <w:fldChar w:fldCharType="begin"/>
      </w:r>
      <w:r w:rsidR="00736D3A">
        <w:rPr>
          <w:rFonts w:asciiTheme="minorEastAsia" w:eastAsiaTheme="minorEastAsia" w:hAnsiTheme="minorEastAsia"/>
        </w:rPr>
        <w:instrText xml:space="preserve"> HYPERLINK "http://ssfb86.com/index/News/detail/newsid/3260.html" </w:instrText>
      </w:r>
      <w:r w:rsidR="00736D3A">
        <w:rPr>
          <w:rFonts w:asciiTheme="minorEastAsia" w:eastAsiaTheme="minorEastAsia" w:hAnsiTheme="minorEastAsia"/>
        </w:rPr>
      </w:r>
      <w:r w:rsidR="00736D3A">
        <w:rPr>
          <w:rFonts w:asciiTheme="minorEastAsia" w:eastAsiaTheme="minorEastAsia" w:hAnsiTheme="minorEastAsia"/>
        </w:rPr>
        <w:fldChar w:fldCharType="separate"/>
      </w:r>
      <w:r w:rsidR="00736D3A" w:rsidRPr="00736D3A">
        <w:rPr>
          <w:rStyle w:val="a8"/>
          <w:rFonts w:asciiTheme="minorEastAsia" w:eastAsiaTheme="minorEastAsia" w:hAnsiTheme="minorEastAsia" w:hint="eastAsia"/>
        </w:rPr>
        <w:t>国税发[2005]120号</w:t>
      </w:r>
      <w:r w:rsidR="00736D3A">
        <w:rPr>
          <w:rFonts w:asciiTheme="minorEastAsia" w:eastAsiaTheme="minorEastAsia" w:hAnsiTheme="minorEastAsia"/>
        </w:rPr>
        <w:fldChar w:fldCharType="end"/>
      </w:r>
      <w:bookmarkEnd w:id="9"/>
      <w:r w:rsidRPr="00F34803">
        <w:rPr>
          <w:rFonts w:asciiTheme="minorEastAsia" w:eastAsiaTheme="minorEastAsia" w:hAnsiTheme="minorEastAsia" w:hint="eastAsia"/>
          <w:b/>
          <w:color w:val="000000" w:themeColor="text1"/>
        </w:rPr>
        <w:t>第五条第五款）</w:t>
      </w:r>
    </w:p>
    <w:p w14:paraId="10F22936"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10" w:name="_Toc13327845"/>
      <w:r w:rsidRPr="00F34803">
        <w:rPr>
          <w:rFonts w:asciiTheme="minorEastAsia" w:eastAsiaTheme="minorEastAsia" w:hAnsiTheme="minorEastAsia" w:hint="eastAsia"/>
          <w:color w:val="000000" w:themeColor="text1"/>
          <w:sz w:val="24"/>
          <w:szCs w:val="24"/>
        </w:rPr>
        <w:t>（二）纳税人档案的内容来源于：</w:t>
      </w:r>
      <w:bookmarkEnd w:id="10"/>
    </w:p>
    <w:p w14:paraId="3523BDF5" w14:textId="5B615AF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8"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w:t>
      </w:r>
    </w:p>
    <w:p w14:paraId="373B227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纳税人税务登记情况。</w:t>
      </w:r>
    </w:p>
    <w:p w14:paraId="72A60D7D" w14:textId="00DD405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9"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第六条第一款）</w:t>
      </w:r>
    </w:p>
    <w:p w14:paraId="6760619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《扣缴个人所得税报告表》和《支付个人收入明细表》。</w:t>
      </w:r>
    </w:p>
    <w:p w14:paraId="778C5DA1" w14:textId="0F31AB2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第六条第二款）</w:t>
      </w:r>
    </w:p>
    <w:p w14:paraId="5EF0D4C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代扣代收税款凭证。</w:t>
      </w:r>
    </w:p>
    <w:p w14:paraId="5820010E" w14:textId="059EE5B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1"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第六条第三款）</w:t>
      </w:r>
    </w:p>
    <w:p w14:paraId="5ED54E5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个人所得税纳税申报表。</w:t>
      </w:r>
    </w:p>
    <w:p w14:paraId="382BAB7C" w14:textId="2F5337D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第六条第四款）</w:t>
      </w:r>
    </w:p>
    <w:p w14:paraId="7E5E974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社会公共部门提供的有关信息。</w:t>
      </w:r>
    </w:p>
    <w:p w14:paraId="0DDD5EF9" w14:textId="514B42A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bookmarkStart w:id="11" w:name="_Hlk54010660"/>
      <w:r w:rsidR="00736D3A">
        <w:rPr>
          <w:rFonts w:asciiTheme="minorEastAsia" w:eastAsiaTheme="minorEastAsia" w:hAnsiTheme="minorEastAsia"/>
        </w:rPr>
        <w:fldChar w:fldCharType="begin"/>
      </w:r>
      <w:r w:rsidR="00736D3A">
        <w:rPr>
          <w:rFonts w:asciiTheme="minorEastAsia" w:eastAsiaTheme="minorEastAsia" w:hAnsiTheme="minorEastAsia"/>
        </w:rPr>
        <w:instrText xml:space="preserve"> HYPERLINK "http://ssfb86.com/index/News/detail/newsid/3260.html" </w:instrText>
      </w:r>
      <w:r w:rsidR="00736D3A">
        <w:rPr>
          <w:rFonts w:asciiTheme="minorEastAsia" w:eastAsiaTheme="minorEastAsia" w:hAnsiTheme="minorEastAsia"/>
        </w:rPr>
      </w:r>
      <w:r w:rsidR="00736D3A">
        <w:rPr>
          <w:rFonts w:asciiTheme="minorEastAsia" w:eastAsiaTheme="minorEastAsia" w:hAnsiTheme="minorEastAsia"/>
        </w:rPr>
        <w:fldChar w:fldCharType="separate"/>
      </w:r>
      <w:r w:rsidR="00736D3A" w:rsidRPr="00736D3A">
        <w:rPr>
          <w:rStyle w:val="a8"/>
          <w:rFonts w:asciiTheme="minorEastAsia" w:eastAsiaTheme="minorEastAsia" w:hAnsiTheme="minorEastAsia" w:hint="eastAsia"/>
        </w:rPr>
        <w:t>国税发[2005]120号</w:t>
      </w:r>
      <w:r w:rsidR="00736D3A">
        <w:rPr>
          <w:rFonts w:asciiTheme="minorEastAsia" w:eastAsiaTheme="minorEastAsia" w:hAnsiTheme="minorEastAsia"/>
        </w:rPr>
        <w:fldChar w:fldCharType="end"/>
      </w:r>
      <w:bookmarkEnd w:id="11"/>
      <w:r w:rsidRPr="00F34803">
        <w:rPr>
          <w:rFonts w:asciiTheme="minorEastAsia" w:eastAsiaTheme="minorEastAsia" w:hAnsiTheme="minorEastAsia" w:hint="eastAsia"/>
          <w:b/>
          <w:color w:val="000000" w:themeColor="text1"/>
        </w:rPr>
        <w:t>第六条第五款）</w:t>
      </w:r>
    </w:p>
    <w:p w14:paraId="00913F8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税务机关的纳税检查情况和处罚记录。</w:t>
      </w:r>
    </w:p>
    <w:p w14:paraId="5F3E6240" w14:textId="77E7F2C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lastRenderedPageBreak/>
        <w:t>（</w:t>
      </w:r>
      <w:hyperlink r:id="rId2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第六条第六款）</w:t>
      </w:r>
    </w:p>
    <w:p w14:paraId="774C0D09" w14:textId="2B268CDC"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7</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税务机关掌握的其他资料及纳税人提供的其他信息资料。</w:t>
      </w:r>
    </w:p>
    <w:p w14:paraId="3B9D0B21" w14:textId="60D60C9A"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第六条第七款）</w:t>
      </w:r>
    </w:p>
    <w:p w14:paraId="12C0CA61"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12" w:name="_Toc13327846"/>
      <w:r w:rsidRPr="00F34803">
        <w:rPr>
          <w:rFonts w:asciiTheme="minorEastAsia" w:eastAsiaTheme="minorEastAsia" w:hAnsiTheme="minorEastAsia" w:hint="eastAsia"/>
          <w:color w:val="000000" w:themeColor="text1"/>
          <w:sz w:val="24"/>
          <w:szCs w:val="24"/>
        </w:rPr>
        <w:t>（三）档案管理与利用</w:t>
      </w:r>
      <w:bookmarkEnd w:id="12"/>
    </w:p>
    <w:p w14:paraId="0920B978"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1</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color w:val="000000" w:themeColor="text1"/>
        </w:rPr>
        <w:t>税务机关应对档案内容适时进行更新和调整；并根据本地信息化水平和征管能力提高的实际，以及个人收入的变化等情况，不断扩大档案管理的范围，直至实现全员全额管理。</w:t>
      </w:r>
    </w:p>
    <w:p w14:paraId="4777D5FC" w14:textId="7953AB9F"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5"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第七条）</w:t>
      </w:r>
    </w:p>
    <w:p w14:paraId="5B58F086"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2</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color w:val="000000" w:themeColor="text1"/>
        </w:rPr>
        <w:t>税务机关应充分利用纳税人档案资料，加强个人所得税管理。定期对重点纳税人、重点行业和企业的个人档案资料进行比对分析和纳税评估，查找税源变动情况和原因，及时发现异常情况，采取措施堵塞征管漏洞。</w:t>
      </w:r>
    </w:p>
    <w:p w14:paraId="7E10258F" w14:textId="0C32B9F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26"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第八条）</w:t>
      </w:r>
    </w:p>
    <w:p w14:paraId="4C7DD9D5"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13" w:name="_Toc13327847"/>
      <w:r w:rsidRPr="00F34803">
        <w:rPr>
          <w:rFonts w:asciiTheme="minorEastAsia" w:hAnsiTheme="minorEastAsia" w:hint="eastAsia"/>
          <w:color w:val="000000" w:themeColor="text1"/>
          <w:sz w:val="24"/>
          <w:szCs w:val="24"/>
        </w:rPr>
        <w:t>二、代扣代缴明细账制度</w:t>
      </w:r>
      <w:bookmarkEnd w:id="13"/>
    </w:p>
    <w:p w14:paraId="131A9606" w14:textId="2FED4CC5"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代扣代缴明细账制度是指，税务机关依据个人所得</w:t>
      </w:r>
      <w:hyperlink r:id="rId27" w:tgtFrame="_self" w:history="1">
        <w:r w:rsidR="00897803" w:rsidRPr="00897803">
          <w:rPr>
            <w:rFonts w:asciiTheme="minorHAnsi" w:eastAsiaTheme="minorEastAsia" w:hAnsiTheme="minorHAnsi" w:cstheme="minorBidi" w:hint="eastAsia"/>
            <w:color w:val="6E6E6E"/>
            <w:kern w:val="2"/>
            <w:sz w:val="21"/>
            <w:szCs w:val="22"/>
            <w:u w:val="single"/>
            <w:shd w:val="clear" w:color="auto" w:fill="FFFFFF"/>
          </w:rPr>
          <w:t>税法</w:t>
        </w:r>
      </w:hyperlink>
      <w:r w:rsidRPr="00F34803">
        <w:rPr>
          <w:rFonts w:asciiTheme="minorEastAsia" w:eastAsiaTheme="minorEastAsia" w:hAnsiTheme="minorEastAsia" w:hint="eastAsia"/>
          <w:color w:val="000000" w:themeColor="text1"/>
        </w:rPr>
        <w:t>和有关规定，要求扣缴义务人按规定报送其支付收入的个人所有的基本信息、支付个人收入和扣缴税款明细信息以及其他相关涉税信息，并对每个扣缴义务人建立档案，为后续实施动态管理打下基础的一项制度。</w:t>
      </w:r>
    </w:p>
    <w:p w14:paraId="7DFA2F41" w14:textId="0CB9573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8"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第九条）</w:t>
      </w:r>
    </w:p>
    <w:p w14:paraId="01F3D0F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（一）税务机关应按照税法及相关法律、法规的有关规定，督促扣缴义务人按规定设立代扣代缴税款账簿，正确反映个人所得税的扣缴情况。</w:t>
      </w:r>
    </w:p>
    <w:p w14:paraId="01A4736B" w14:textId="2E2D31A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29"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第十条）</w:t>
      </w:r>
    </w:p>
    <w:p w14:paraId="1CEC81A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二）扣缴义务人申报的纳税资料，税务机关应严格审查核实。对《扣缴个人所得税报告表》和《支付个人收入明细表》没有按每一个人逐栏逐项填写的，或者填写内容不全的，主管税务机关应要求扣缴义务人重新填报。已实行</w:t>
      </w:r>
      <w:r w:rsidRPr="00F34803">
        <w:rPr>
          <w:rFonts w:asciiTheme="minorEastAsia" w:eastAsiaTheme="minorEastAsia" w:hAnsiTheme="minorEastAsia" w:hint="eastAsia"/>
          <w:color w:val="000000" w:themeColor="text1"/>
        </w:rPr>
        <w:lastRenderedPageBreak/>
        <w:t>信息化管理的，可以将《支付个人收入明细表》并入《扣缴个人所得税报告表》。</w:t>
      </w:r>
    </w:p>
    <w:p w14:paraId="3835B8FA" w14:textId="54467E9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第十一条第一款）</w:t>
      </w:r>
    </w:p>
    <w:p w14:paraId="00061E1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（三）《扣缴个人所得税报告表》填写实际缴纳了个人所得税的纳税人的情况；《支付个人收入明细表》填写支付了应税收入，但未达到纳税标准的纳税人的情况。</w:t>
      </w:r>
    </w:p>
    <w:p w14:paraId="05BBEF55" w14:textId="5AB7FC0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1"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第十一条第二款）</w:t>
      </w:r>
    </w:p>
    <w:p w14:paraId="15D9471B"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（四）税务机关应将扣缴义务人报送的支付个人收入情况与其同期财务报表交叉比对，发现不符的，应要求其说明情况，并依法查实处理。</w:t>
      </w:r>
    </w:p>
    <w:p w14:paraId="4B8992EB" w14:textId="032E7F2B"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bookmarkStart w:id="14" w:name="_Hlk13317845"/>
      <w:r w:rsidRPr="00F34803">
        <w:rPr>
          <w:rFonts w:asciiTheme="minorEastAsia" w:eastAsiaTheme="minorEastAsia" w:hAnsiTheme="minorEastAsia" w:hint="eastAsia"/>
          <w:b/>
          <w:color w:val="000000" w:themeColor="text1"/>
        </w:rPr>
        <w:t>（</w:t>
      </w:r>
      <w:hyperlink r:id="rId3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第十二条）</w:t>
      </w:r>
    </w:p>
    <w:bookmarkEnd w:id="14"/>
    <w:p w14:paraId="77D62D4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五）税务机关应对每个扣缴义务人建立档案，其内容包括：扣缴义务人编码、扣缴义务人名称、税务（注册）登记证号码、电话号码、电子邮件地址、行业、经济类型、单位地址、邮政编码、法定代表人（单位负责人）和财务主管人员姓名及联系电话、税务登记机关、登记证照类型、发照日期、主管税务机关、应纳税所得额（按所得项目归类汇总）、免税收入、应纳税额（按所得项目归类汇总）、纳税人数、已纳税额、应补（退）税额、减免税额、滞纳金、罚款、完税凭证号等。</w:t>
      </w:r>
    </w:p>
    <w:p w14:paraId="6E943111" w14:textId="7B8ABF2A"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第十三条）</w:t>
      </w:r>
    </w:p>
    <w:p w14:paraId="462B5A9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（六）扣缴义务人档案的内容来源于：</w:t>
      </w:r>
    </w:p>
    <w:p w14:paraId="083EADEB"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扣缴义务人扣缴税款登记情况。</w:t>
      </w:r>
    </w:p>
    <w:p w14:paraId="67A2D527" w14:textId="09AEFB67"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第十四条第一款）</w:t>
      </w:r>
    </w:p>
    <w:p w14:paraId="6CD82FA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《扣缴个人所得税报告表》和《支付个人收入明细表》。</w:t>
      </w:r>
    </w:p>
    <w:p w14:paraId="3CA813FF" w14:textId="31871FF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5"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第十四条第二款）</w:t>
      </w:r>
    </w:p>
    <w:p w14:paraId="1713F5AE"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代扣代收税款凭证。</w:t>
      </w:r>
    </w:p>
    <w:p w14:paraId="73C4D818" w14:textId="4AD7178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lastRenderedPageBreak/>
        <w:t>（</w:t>
      </w:r>
      <w:hyperlink r:id="rId36"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第十四条第三款）</w:t>
      </w:r>
    </w:p>
    <w:p w14:paraId="61A3004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社会公共部门提供的有关信息。</w:t>
      </w:r>
    </w:p>
    <w:p w14:paraId="454EDC31" w14:textId="6FDFA5BB"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7"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第十四条第四款）</w:t>
      </w:r>
    </w:p>
    <w:p w14:paraId="7D621E5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税务机关的纳税检查情况和处罚记录。</w:t>
      </w:r>
    </w:p>
    <w:p w14:paraId="3831CD16" w14:textId="1245DE2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8"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第十四条第五款）</w:t>
      </w:r>
    </w:p>
    <w:p w14:paraId="69959FB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税务机关掌握的其他资料。</w:t>
      </w:r>
    </w:p>
    <w:p w14:paraId="2C1DA180" w14:textId="4798BB7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39"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第十四条第六款）</w:t>
      </w:r>
    </w:p>
    <w:p w14:paraId="07C979CE"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15" w:name="_Toc13327848"/>
      <w:r w:rsidRPr="00F34803">
        <w:rPr>
          <w:rFonts w:asciiTheme="minorEastAsia" w:hAnsiTheme="minorEastAsia" w:hint="eastAsia"/>
          <w:color w:val="000000" w:themeColor="text1"/>
          <w:sz w:val="24"/>
          <w:szCs w:val="24"/>
        </w:rPr>
        <w:t>三、纳税人与扣缴义务人向税务机关双向申报制度</w:t>
      </w:r>
      <w:bookmarkEnd w:id="15"/>
    </w:p>
    <w:p w14:paraId="5752803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纳税人与扣缴义务人向税务机关双向申报制度是指，纳税人与扣缴义务人按照法律、行政法规规定和税务机关依法律、行政法规所提出的要求，分别向主管税务机关办理纳税申报，税务机关对纳税人和扣缴义务人提供的收入、纳税信息进行交叉比对、核查的一项制度。</w:t>
      </w:r>
    </w:p>
    <w:p w14:paraId="130CC606" w14:textId="36EEFFC8"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bookmarkStart w:id="16" w:name="_Hlk13317930"/>
      <w:r w:rsidRPr="00F34803">
        <w:rPr>
          <w:rFonts w:asciiTheme="minorEastAsia" w:eastAsiaTheme="minorEastAsia" w:hAnsiTheme="minorEastAsia" w:hint="eastAsia"/>
          <w:b/>
          <w:color w:val="000000" w:themeColor="text1"/>
        </w:rPr>
        <w:t>（</w:t>
      </w:r>
      <w:hyperlink r:id="rId4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第十五条）</w:t>
      </w:r>
    </w:p>
    <w:bookmarkEnd w:id="16"/>
    <w:p w14:paraId="6C158F12" w14:textId="7983C842"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（一）</w:t>
      </w:r>
      <w:r w:rsidRPr="00F34803">
        <w:rPr>
          <w:rFonts w:asciiTheme="minorEastAsia" w:eastAsiaTheme="minorEastAsia" w:hAnsiTheme="minorEastAsia" w:hint="eastAsia"/>
          <w:color w:val="000000" w:themeColor="text1"/>
        </w:rPr>
        <w:t>对</w:t>
      </w:r>
      <w:hyperlink r:id="rId41" w:tgtFrame="_self" w:history="1">
        <w:r w:rsidR="00897803" w:rsidRPr="00897803">
          <w:rPr>
            <w:rFonts w:asciiTheme="minorHAnsi" w:eastAsiaTheme="minorEastAsia" w:hAnsiTheme="minorHAnsi" w:cstheme="minorBidi" w:hint="eastAsia"/>
            <w:color w:val="4788D7"/>
            <w:kern w:val="2"/>
            <w:sz w:val="21"/>
            <w:szCs w:val="22"/>
            <w:u w:val="single"/>
            <w:shd w:val="clear" w:color="auto" w:fill="FFFFFF"/>
          </w:rPr>
          <w:t>税法</w:t>
        </w:r>
      </w:hyperlink>
      <w:r w:rsidRPr="00F34803">
        <w:rPr>
          <w:rFonts w:asciiTheme="minorEastAsia" w:eastAsiaTheme="minorEastAsia" w:hAnsiTheme="minorEastAsia" w:hint="eastAsia"/>
          <w:color w:val="000000" w:themeColor="text1"/>
        </w:rPr>
        <w:t>及其实施条例，以及相关法律、法规规定纳税人必须自行申报的，税务机关应要求其自行向主管税务机关进行纳税申报。</w:t>
      </w:r>
    </w:p>
    <w:p w14:paraId="121E9CE7" w14:textId="28E324E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第十六条）</w:t>
      </w:r>
    </w:p>
    <w:p w14:paraId="3B760B08"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（二）</w:t>
      </w:r>
      <w:r w:rsidRPr="00F34803">
        <w:rPr>
          <w:rFonts w:asciiTheme="minorEastAsia" w:eastAsiaTheme="minorEastAsia" w:hAnsiTheme="minorEastAsia" w:hint="eastAsia"/>
          <w:color w:val="000000" w:themeColor="text1"/>
        </w:rPr>
        <w:t>税务机关接受纳税人、扣缴义务人的纳税申报时，应对申报的时限、应税项目、适用税率、税款计算及相关资料的完整性和准确性进行初步审核，发现有误的，应及时要求纳税人、扣缴义务人修正申报。</w:t>
      </w:r>
    </w:p>
    <w:p w14:paraId="3A9205D4" w14:textId="259A4F4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第十七条）</w:t>
      </w:r>
    </w:p>
    <w:p w14:paraId="0EF65A47"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（三）</w:t>
      </w:r>
      <w:r w:rsidRPr="00F34803">
        <w:rPr>
          <w:rFonts w:asciiTheme="minorEastAsia" w:eastAsiaTheme="minorEastAsia" w:hAnsiTheme="minorEastAsia" w:hint="eastAsia"/>
          <w:color w:val="000000" w:themeColor="text1"/>
        </w:rPr>
        <w:t>税务机关应对双向申报的内容进行交叉比对和评估分析，从中发现问题并及时依法处理。</w:t>
      </w:r>
    </w:p>
    <w:p w14:paraId="1BF21B7B" w14:textId="5D9851D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第十八条）</w:t>
      </w:r>
    </w:p>
    <w:p w14:paraId="3214EE50"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17" w:name="_Toc13327849"/>
      <w:r w:rsidRPr="00F34803">
        <w:rPr>
          <w:rFonts w:asciiTheme="minorEastAsia" w:hAnsiTheme="minorEastAsia" w:hint="eastAsia"/>
          <w:color w:val="000000" w:themeColor="text1"/>
          <w:sz w:val="24"/>
          <w:szCs w:val="24"/>
        </w:rPr>
        <w:lastRenderedPageBreak/>
        <w:t>四、与社会各部门配合的协税制度</w:t>
      </w:r>
      <w:bookmarkEnd w:id="17"/>
    </w:p>
    <w:p w14:paraId="6807487B"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与社会各部门配合的协税制度是指，税务机关应建立与个人收入和个人所得税征管有关的各部门的协调与配合的制度，及时掌握税源和与纳税有关的信息，共同制定和实施协税、护税措施，形成社会协税、护税网络。</w:t>
      </w:r>
    </w:p>
    <w:p w14:paraId="7A747337" w14:textId="7963A57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5"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第十九条）</w:t>
      </w:r>
    </w:p>
    <w:p w14:paraId="607511B2"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（一）</w:t>
      </w:r>
      <w:r w:rsidRPr="00F34803">
        <w:rPr>
          <w:rFonts w:asciiTheme="minorEastAsia" w:eastAsiaTheme="minorEastAsia" w:hAnsiTheme="minorEastAsia" w:hint="eastAsia"/>
          <w:color w:val="000000" w:themeColor="text1"/>
        </w:rPr>
        <w:t>税务机关应重点加强与以下部门的协调配合：公安、检察、法院、工商、银行、文化体育、财政、劳动、房管、交通、审计、外汇管理等部门。</w:t>
      </w:r>
    </w:p>
    <w:p w14:paraId="0634B84D" w14:textId="4BB4BEE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6"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第二十条）</w:t>
      </w:r>
    </w:p>
    <w:p w14:paraId="2F8F2542"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（二）</w:t>
      </w:r>
      <w:r w:rsidRPr="00F34803">
        <w:rPr>
          <w:rFonts w:asciiTheme="minorEastAsia" w:eastAsiaTheme="minorEastAsia" w:hAnsiTheme="minorEastAsia" w:hint="eastAsia"/>
          <w:color w:val="000000" w:themeColor="text1"/>
        </w:rPr>
        <w:t>税务机关通过加强与有关部门的协调配合，着重掌握纳税人的相关收入信息。</w:t>
      </w:r>
    </w:p>
    <w:p w14:paraId="2195332A" w14:textId="3BC2B67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7"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w:t>
      </w:r>
    </w:p>
    <w:p w14:paraId="73D8921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与公安部门联系，了解中国境内无住所个人出入境情况及在中国境内的居留暂住情况，实施阻止欠税人出境制度，掌握个人购车等情况。</w:t>
      </w:r>
    </w:p>
    <w:p w14:paraId="566999A1" w14:textId="23754EC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8"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第二十一条第一款）</w:t>
      </w:r>
    </w:p>
    <w:p w14:paraId="2C379985"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与工商部门联系，了解纳税人登记注册的变化情况和股份制企业股东及股本变化等情况。</w:t>
      </w:r>
    </w:p>
    <w:p w14:paraId="6C094999" w14:textId="0AE0C4C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49"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第二十一条第二款）</w:t>
      </w:r>
    </w:p>
    <w:p w14:paraId="3B595AF5"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与文化体育部门联系，掌握各种演出、比赛获奖等信息，落实演出承办单位和体育单位的代扣代缴义务等情况。</w:t>
      </w:r>
    </w:p>
    <w:p w14:paraId="6E0343E4" w14:textId="735D57C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5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第二十一条第三款）</w:t>
      </w:r>
    </w:p>
    <w:p w14:paraId="0E506855"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与房管部门联系，了解房屋买卖、出租等情况。</w:t>
      </w:r>
    </w:p>
    <w:p w14:paraId="3DBF4AF0" w14:textId="2A9F181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51"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第二十一条第四款）</w:t>
      </w:r>
    </w:p>
    <w:p w14:paraId="6EAAACA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与交通部门联系，了解出租车、货运车以及运营等情况。</w:t>
      </w:r>
    </w:p>
    <w:p w14:paraId="24AE9036" w14:textId="4F94BFF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lastRenderedPageBreak/>
        <w:t>（</w:t>
      </w:r>
      <w:hyperlink r:id="rId5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第二十一条第五款）</w:t>
      </w:r>
    </w:p>
    <w:p w14:paraId="57DF1FBD"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与劳动部门联系，了解中国境内无住所个人的劳动就业情况。</w:t>
      </w:r>
    </w:p>
    <w:p w14:paraId="25D17160" w14:textId="0AEC3E9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5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第二十一条第六款）</w:t>
      </w:r>
    </w:p>
    <w:p w14:paraId="6EF72FF0"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（三）</w:t>
      </w:r>
      <w:r w:rsidRPr="00F34803">
        <w:rPr>
          <w:rFonts w:asciiTheme="minorEastAsia" w:eastAsiaTheme="minorEastAsia" w:hAnsiTheme="minorEastAsia" w:hint="eastAsia"/>
          <w:color w:val="000000" w:themeColor="text1"/>
        </w:rPr>
        <w:t>税务机关应积极创造条件，逐步实现与有关部门的相关信息共享或定期交换。</w:t>
      </w:r>
    </w:p>
    <w:p w14:paraId="1BF6EFA5" w14:textId="0FAEC12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bookmarkStart w:id="18" w:name="_Hlk13318029"/>
      <w:r w:rsidRPr="00F34803">
        <w:rPr>
          <w:rFonts w:asciiTheme="minorEastAsia" w:eastAsiaTheme="minorEastAsia" w:hAnsiTheme="minorEastAsia" w:hint="eastAsia"/>
          <w:b/>
          <w:color w:val="000000" w:themeColor="text1"/>
        </w:rPr>
        <w:t>（</w:t>
      </w:r>
      <w:hyperlink r:id="rId5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第二十二条）</w:t>
      </w:r>
    </w:p>
    <w:bookmarkEnd w:id="18"/>
    <w:p w14:paraId="6B543E51"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（四）</w:t>
      </w:r>
      <w:r w:rsidRPr="00F34803">
        <w:rPr>
          <w:rFonts w:asciiTheme="minorEastAsia" w:eastAsiaTheme="minorEastAsia" w:hAnsiTheme="minorEastAsia" w:hint="eastAsia"/>
          <w:color w:val="000000" w:themeColor="text1"/>
        </w:rPr>
        <w:t>各级税务机关应当把大力宣传和普及个人所得税法知识、不断提高公民的依法纳税意识作为一项长期的基础性工作予以高度重视，列入重要议事日程，并结合征管工作的要求、社会关注的热点和本地征管的重点，加强与上述部门的密切配合。制定周密的宣传工作计划，充分利用各种宣传媒体和途径、采取灵活多样的方式进行个人所得税宣传。</w:t>
      </w:r>
    </w:p>
    <w:p w14:paraId="19E79E2B" w14:textId="32CFC8A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55"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第二十三条）</w:t>
      </w:r>
    </w:p>
    <w:p w14:paraId="65AB8B18"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19" w:name="_Toc13327850"/>
      <w:r w:rsidRPr="00F34803">
        <w:rPr>
          <w:rFonts w:asciiTheme="minorEastAsia" w:hAnsiTheme="minorEastAsia" w:hint="eastAsia"/>
          <w:color w:val="000000" w:themeColor="text1"/>
          <w:sz w:val="24"/>
          <w:szCs w:val="24"/>
        </w:rPr>
        <w:t>五、加快信息化建设</w:t>
      </w:r>
      <w:bookmarkEnd w:id="19"/>
    </w:p>
    <w:p w14:paraId="01040FC2"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各级税务机关应在金税工程三期的总体框架下，按照“一体化”要求和“统筹规划、统一标准，突出重点、分布实施，整合资源、讲究实效，加强管理、保证安全”的原则，进一步加快个人所得税征管信息化建设，以此提高个人所得税征管质量和效率。</w:t>
      </w:r>
    </w:p>
    <w:p w14:paraId="13DD3881" w14:textId="05367B9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56"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第二十四条）</w:t>
      </w:r>
    </w:p>
    <w:p w14:paraId="28CD7B1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按照一体化建设的要求，个人所得税与其他税种具有共性的部分，由核心业务系统统一开发软件，个人所得税个性的部分单独开发软件。根据个人所得税特点，总局先行开发个人所得税代扣代缴（扣缴义务人端）和基础信息管理（税务端）两个子系统。</w:t>
      </w:r>
    </w:p>
    <w:p w14:paraId="6DF7F89B" w14:textId="1C0606D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bookmarkStart w:id="20" w:name="_Hlk54010878"/>
      <w:r w:rsidR="00736D3A">
        <w:rPr>
          <w:rFonts w:asciiTheme="minorEastAsia" w:eastAsiaTheme="minorEastAsia" w:hAnsiTheme="minorEastAsia"/>
        </w:rPr>
        <w:fldChar w:fldCharType="begin"/>
      </w:r>
      <w:r w:rsidR="00736D3A">
        <w:rPr>
          <w:rFonts w:asciiTheme="minorEastAsia" w:eastAsiaTheme="minorEastAsia" w:hAnsiTheme="minorEastAsia"/>
        </w:rPr>
        <w:instrText xml:space="preserve"> HYPERLINK "http://ssfb86.com/index/News/detail/newsid/3260.html" </w:instrText>
      </w:r>
      <w:r w:rsidR="00736D3A">
        <w:rPr>
          <w:rFonts w:asciiTheme="minorEastAsia" w:eastAsiaTheme="minorEastAsia" w:hAnsiTheme="minorEastAsia"/>
        </w:rPr>
      </w:r>
      <w:r w:rsidR="00736D3A">
        <w:rPr>
          <w:rFonts w:asciiTheme="minorEastAsia" w:eastAsiaTheme="minorEastAsia" w:hAnsiTheme="minorEastAsia"/>
        </w:rPr>
        <w:fldChar w:fldCharType="separate"/>
      </w:r>
      <w:r w:rsidR="00736D3A" w:rsidRPr="00736D3A">
        <w:rPr>
          <w:rStyle w:val="a8"/>
          <w:rFonts w:asciiTheme="minorEastAsia" w:eastAsiaTheme="minorEastAsia" w:hAnsiTheme="minorEastAsia" w:hint="eastAsia"/>
        </w:rPr>
        <w:t>国税发[2005]120号</w:t>
      </w:r>
      <w:r w:rsidR="00736D3A">
        <w:rPr>
          <w:rFonts w:asciiTheme="minorEastAsia" w:eastAsiaTheme="minorEastAsia" w:hAnsiTheme="minorEastAsia"/>
        </w:rPr>
        <w:fldChar w:fldCharType="end"/>
      </w:r>
      <w:bookmarkEnd w:id="20"/>
      <w:r w:rsidRPr="00F34803">
        <w:rPr>
          <w:rFonts w:asciiTheme="minorEastAsia" w:eastAsiaTheme="minorEastAsia" w:hAnsiTheme="minorEastAsia" w:hint="eastAsia"/>
          <w:b/>
          <w:color w:val="000000" w:themeColor="text1"/>
        </w:rPr>
        <w:t>第二十五条）</w:t>
      </w:r>
    </w:p>
    <w:p w14:paraId="5D09534C"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1" w:name="_Toc13327851"/>
      <w:r w:rsidRPr="00F34803">
        <w:rPr>
          <w:rFonts w:asciiTheme="minorEastAsia" w:eastAsiaTheme="minorEastAsia" w:hAnsiTheme="minorEastAsia" w:hint="eastAsia"/>
          <w:color w:val="000000" w:themeColor="text1"/>
          <w:sz w:val="24"/>
          <w:szCs w:val="24"/>
        </w:rPr>
        <w:t>（一）代扣代缴（扣缴义务人端）系统的要求是：</w:t>
      </w:r>
      <w:bookmarkEnd w:id="21"/>
    </w:p>
    <w:p w14:paraId="49CD6BF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为扣缴义务人提供方便快捷的报税工具。</w:t>
      </w:r>
    </w:p>
    <w:p w14:paraId="68B2D484" w14:textId="1FA0080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lastRenderedPageBreak/>
        <w:t>（</w:t>
      </w:r>
      <w:hyperlink r:id="rId57"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第二十六条第一款）</w:t>
      </w:r>
    </w:p>
    <w:p w14:paraId="2F8FAF3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可以从扣缴义务人现有的财务等软件中导入相关信息。</w:t>
      </w:r>
    </w:p>
    <w:p w14:paraId="36425E20" w14:textId="41CF1017"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58"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第二十六条第二款）</w:t>
      </w:r>
    </w:p>
    <w:p w14:paraId="2B21B67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自动计算税款，自动生成各种报表。</w:t>
      </w:r>
    </w:p>
    <w:p w14:paraId="47628A1D" w14:textId="22D02E7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59"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第二十六条第三款）</w:t>
      </w:r>
    </w:p>
    <w:p w14:paraId="2A5956E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支持多元化的申报方式。</w:t>
      </w:r>
    </w:p>
    <w:p w14:paraId="40687426" w14:textId="35A2B5F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第二十六条第四款）</w:t>
      </w:r>
    </w:p>
    <w:p w14:paraId="023CBC8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方便扣缴义务人统计、查询、打印。</w:t>
      </w:r>
    </w:p>
    <w:p w14:paraId="6F19885E" w14:textId="2926D95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1"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第二十六条第五款）</w:t>
      </w:r>
    </w:p>
    <w:p w14:paraId="41916B9F"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提供《代扣代收税款凭证》打印功能。</w:t>
      </w:r>
    </w:p>
    <w:p w14:paraId="02DA8BB5" w14:textId="1F11C4CB"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第二十六条第六款）</w:t>
      </w:r>
    </w:p>
    <w:p w14:paraId="152E432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7</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便于税务机关接受扣缴义务人的明细扣缴申报，准确全面掌握有关基础数据资料。</w:t>
      </w:r>
    </w:p>
    <w:p w14:paraId="2AD3AD1B" w14:textId="002ECB7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第二十六条第七款）</w:t>
      </w:r>
    </w:p>
    <w:p w14:paraId="15A49F2E"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2" w:name="_Toc13327852"/>
      <w:r w:rsidRPr="00F34803">
        <w:rPr>
          <w:rFonts w:asciiTheme="minorEastAsia" w:eastAsiaTheme="minorEastAsia" w:hAnsiTheme="minorEastAsia" w:hint="eastAsia"/>
          <w:color w:val="000000" w:themeColor="text1"/>
          <w:sz w:val="24"/>
          <w:szCs w:val="24"/>
        </w:rPr>
        <w:t>（二）基础信息管理系统（税务端）的要求是：</w:t>
      </w:r>
      <w:bookmarkEnd w:id="22"/>
    </w:p>
    <w:p w14:paraId="677B6E4B"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建立个人收入纳税一户式档案，用于汇集扣缴义务人、纳税人的基础信息、收入及纳税信息资料。</w:t>
      </w:r>
    </w:p>
    <w:p w14:paraId="05431123" w14:textId="4650E42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bookmarkStart w:id="23" w:name="_Hlk13318143"/>
      <w:r w:rsidRPr="00F34803">
        <w:rPr>
          <w:rFonts w:asciiTheme="minorEastAsia" w:eastAsiaTheme="minorEastAsia" w:hAnsiTheme="minorEastAsia" w:hint="eastAsia"/>
          <w:b/>
          <w:color w:val="000000" w:themeColor="text1"/>
        </w:rPr>
        <w:t>（</w:t>
      </w:r>
      <w:hyperlink r:id="rId6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第二十七条第一款）</w:t>
      </w:r>
    </w:p>
    <w:bookmarkEnd w:id="23"/>
    <w:p w14:paraId="78F50FAD"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传递个人两处以上取得的收入及纳税信息给征管环节。</w:t>
      </w:r>
    </w:p>
    <w:p w14:paraId="6C67673E" w14:textId="3CEAF5D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5"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第二十七条第二款）</w:t>
      </w:r>
    </w:p>
    <w:p w14:paraId="55F0980E"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从一户式档案中筛选高收入个人、高收入行业、重点纳税人、重点扣缴义务人，并实施重点管理。</w:t>
      </w:r>
    </w:p>
    <w:p w14:paraId="0A062589" w14:textId="03EC95FA"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6"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第二十七条第三款）</w:t>
      </w:r>
    </w:p>
    <w:p w14:paraId="28DAA115"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lastRenderedPageBreak/>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通过对纳税人收入、纳税相关信息进行汇总比对，判定纳税人申报情况的真实性。</w:t>
      </w:r>
    </w:p>
    <w:p w14:paraId="666271D3" w14:textId="7596243B"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7"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第二十七条第四款）</w:t>
      </w:r>
    </w:p>
    <w:p w14:paraId="69B5ABA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通过设定各类统计指标、口径和运用统计结果，为加强个人所得税管理和完善政策提供决策支持。</w:t>
      </w:r>
    </w:p>
    <w:p w14:paraId="7986229D" w14:textId="3369CC8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8"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第二十七条第五款）</w:t>
      </w:r>
    </w:p>
    <w:p w14:paraId="29EAED2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建立与各部门的数据应用接口，为其他税费征收提供信息。</w:t>
      </w:r>
    </w:p>
    <w:p w14:paraId="3498BE6C" w14:textId="52796FD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69"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第二十七条第六款）</w:t>
      </w:r>
    </w:p>
    <w:p w14:paraId="62CDF32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7</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按规定打印《中华人民共和国个人所得税完税证明》，为纳税人提供完税依据。</w:t>
      </w:r>
    </w:p>
    <w:p w14:paraId="11F4EDD1" w14:textId="341AB7D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70"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第二十七条第七款）</w:t>
      </w:r>
    </w:p>
    <w:p w14:paraId="7C542092"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4" w:name="_Toc13327853"/>
      <w:r w:rsidRPr="00F34803">
        <w:rPr>
          <w:rFonts w:asciiTheme="minorEastAsia" w:eastAsiaTheme="minorEastAsia" w:hAnsiTheme="minorEastAsia" w:hint="eastAsia"/>
          <w:color w:val="000000" w:themeColor="text1"/>
          <w:sz w:val="24"/>
          <w:szCs w:val="24"/>
        </w:rPr>
        <w:t>（三）省级税务机关应做好现有个人所得税征管软件的整合工作。</w:t>
      </w:r>
      <w:bookmarkEnd w:id="24"/>
    </w:p>
    <w:p w14:paraId="4272835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省级及以下各级税务机关原则上不应再自行开发个人所得税征管软件。</w:t>
      </w:r>
    </w:p>
    <w:p w14:paraId="3E2575A6" w14:textId="5E5A734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1"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第二十八条）</w:t>
      </w:r>
    </w:p>
    <w:p w14:paraId="3E1F415D"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25" w:name="_Toc13327854"/>
      <w:r w:rsidRPr="00F34803">
        <w:rPr>
          <w:rFonts w:asciiTheme="minorEastAsia" w:hAnsiTheme="minorEastAsia" w:hint="eastAsia"/>
          <w:color w:val="000000" w:themeColor="text1"/>
          <w:sz w:val="24"/>
          <w:szCs w:val="24"/>
        </w:rPr>
        <w:t>六、加强高收入者的重点管理</w:t>
      </w:r>
      <w:bookmarkEnd w:id="25"/>
    </w:p>
    <w:p w14:paraId="501B6161"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6" w:name="_Toc13327855"/>
      <w:r w:rsidRPr="00F34803">
        <w:rPr>
          <w:rFonts w:asciiTheme="minorEastAsia" w:eastAsiaTheme="minorEastAsia" w:hAnsiTheme="minorEastAsia" w:hint="eastAsia"/>
          <w:color w:val="000000" w:themeColor="text1"/>
          <w:sz w:val="24"/>
          <w:szCs w:val="24"/>
        </w:rPr>
        <w:t>（一）重点纳税人的范围</w:t>
      </w:r>
      <w:bookmarkEnd w:id="26"/>
    </w:p>
    <w:p w14:paraId="4573A2D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税务机关应将下列人员纳入重点纳税人范围：</w:t>
      </w:r>
      <w:r w:rsidRPr="00F34803">
        <w:rPr>
          <w:rFonts w:asciiTheme="minorEastAsia" w:eastAsiaTheme="minorEastAsia" w:hAnsiTheme="minorEastAsia" w:hint="eastAsia"/>
          <w:b/>
          <w:color w:val="000000" w:themeColor="text1"/>
        </w:rPr>
        <w:t>金融、保险、证券、电力、电信、石油、石化、烟草、民航、铁道、房地产、学校、医院、城市供水供气、出版社、公路管理、外商投资企业和外国企业、高新技术企业、中介机构、体育俱乐部等高收入行业人员；民营经济投资者、影视明星、歌星、体育明星、模特等高收入个人；临时来华演出人员</w:t>
      </w:r>
      <w:r w:rsidRPr="00F34803">
        <w:rPr>
          <w:rFonts w:asciiTheme="minorEastAsia" w:eastAsiaTheme="minorEastAsia" w:hAnsiTheme="minorEastAsia" w:hint="eastAsia"/>
          <w:color w:val="000000" w:themeColor="text1"/>
        </w:rPr>
        <w:t>。</w:t>
      </w:r>
    </w:p>
    <w:p w14:paraId="003B4C28" w14:textId="334EF7F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2"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第二十九条）</w:t>
      </w:r>
    </w:p>
    <w:p w14:paraId="7DE54E8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b/>
          <w:color w:val="000000" w:themeColor="text1"/>
        </w:rPr>
      </w:pPr>
      <w:r w:rsidRPr="00F34803">
        <w:rPr>
          <w:rFonts w:asciiTheme="minorEastAsia" w:eastAsiaTheme="minorEastAsia" w:hAnsiTheme="minorEastAsia" w:hint="eastAsia"/>
          <w:color w:val="000000" w:themeColor="text1"/>
        </w:rPr>
        <w:t>各级税务机关应从下列人员中，选择一定数量的个人作为重点纳税人，</w:t>
      </w:r>
      <w:r w:rsidRPr="00F34803">
        <w:rPr>
          <w:rFonts w:asciiTheme="minorEastAsia" w:eastAsiaTheme="minorEastAsia" w:hAnsiTheme="minorEastAsia" w:hint="eastAsia"/>
          <w:b/>
          <w:color w:val="000000" w:themeColor="text1"/>
        </w:rPr>
        <w:t>实施重点管理：</w:t>
      </w:r>
    </w:p>
    <w:p w14:paraId="6102937E"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lastRenderedPageBreak/>
        <w:t>1</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b/>
          <w:color w:val="000000" w:themeColor="text1"/>
        </w:rPr>
        <w:t>收入较高者。</w:t>
      </w:r>
    </w:p>
    <w:p w14:paraId="3AE13A24" w14:textId="564E09BA"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3"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第三十条第一款）</w:t>
      </w:r>
    </w:p>
    <w:p w14:paraId="6D804A19"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2</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b/>
          <w:color w:val="000000" w:themeColor="text1"/>
        </w:rPr>
        <w:t>知名度较高者。</w:t>
      </w:r>
    </w:p>
    <w:p w14:paraId="6DA784CF" w14:textId="1D757ABB"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4" w:history="1">
        <w:r w:rsidR="00736D3A"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第三十条第二款）</w:t>
      </w:r>
    </w:p>
    <w:p w14:paraId="4E9EF069"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3</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b/>
          <w:color w:val="000000" w:themeColor="text1"/>
        </w:rPr>
        <w:t>收入来源渠道较多者。</w:t>
      </w:r>
    </w:p>
    <w:p w14:paraId="4279C5AF" w14:textId="4C8B7E2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5"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第三十条第三款）</w:t>
      </w:r>
    </w:p>
    <w:p w14:paraId="54A1A6BC"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4</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b/>
          <w:color w:val="000000" w:themeColor="text1"/>
        </w:rPr>
        <w:t>收入项目较多者。</w:t>
      </w:r>
    </w:p>
    <w:p w14:paraId="5886642B" w14:textId="3A38CA7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6"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第三十条第四款）</w:t>
      </w:r>
    </w:p>
    <w:p w14:paraId="36BDB8B6"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5</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b/>
          <w:color w:val="000000" w:themeColor="text1"/>
        </w:rPr>
        <w:t>无固定单位的自由职业者。</w:t>
      </w:r>
    </w:p>
    <w:p w14:paraId="2763F7F5" w14:textId="79F00F57"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7"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第三十条第五款）</w:t>
      </w:r>
    </w:p>
    <w:p w14:paraId="412C43AD"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6</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b/>
          <w:color w:val="000000" w:themeColor="text1"/>
        </w:rPr>
        <w:t>对税收征管影响较大者</w:t>
      </w:r>
      <w:r w:rsidRPr="00F34803">
        <w:rPr>
          <w:rFonts w:asciiTheme="minorEastAsia" w:eastAsiaTheme="minorEastAsia" w:hAnsiTheme="minorEastAsia" w:hint="eastAsia"/>
          <w:color w:val="000000" w:themeColor="text1"/>
        </w:rPr>
        <w:t>。</w:t>
      </w:r>
    </w:p>
    <w:p w14:paraId="5A2D1D3C" w14:textId="7B68F8C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8"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第三十条第六款）</w:t>
      </w:r>
    </w:p>
    <w:p w14:paraId="0FC77B63"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7" w:name="_Toc13327856"/>
      <w:r w:rsidRPr="00F34803">
        <w:rPr>
          <w:rFonts w:asciiTheme="minorEastAsia" w:eastAsiaTheme="minorEastAsia" w:hAnsiTheme="minorEastAsia" w:hint="eastAsia"/>
          <w:color w:val="000000" w:themeColor="text1"/>
          <w:sz w:val="24"/>
          <w:szCs w:val="24"/>
        </w:rPr>
        <w:t>（二）重点纳税人的管理</w:t>
      </w:r>
      <w:bookmarkEnd w:id="27"/>
    </w:p>
    <w:p w14:paraId="72D550B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各级税务机关对重点纳税人应实行滚动动态管理办法，每年都应根据本地实际情况，适时增补重点纳税人，不断扩大重点纳税人管理范围，直至实现全员全额管理。</w:t>
      </w:r>
    </w:p>
    <w:p w14:paraId="7C866ED1" w14:textId="4E5BACC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79"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第三十一条）</w:t>
      </w:r>
    </w:p>
    <w:p w14:paraId="4C564F52"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税务机关应对重点纳税人按人建立专门档案，实行重点管理，随时跟踪其收入和纳税变化情况。</w:t>
      </w:r>
    </w:p>
    <w:p w14:paraId="262DDF52" w14:textId="3F37933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0"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第三十二条）</w:t>
      </w:r>
    </w:p>
    <w:p w14:paraId="48DD212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各级税务机关应充分利用建档管理掌握的重点纳税人信息，定期对重点纳税人的收入、纳税情况进行比对、评估分析，从中发现异常问题，及时采取措施堵塞管理漏洞。</w:t>
      </w:r>
    </w:p>
    <w:p w14:paraId="664DE999" w14:textId="63348A7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lastRenderedPageBreak/>
        <w:t>（</w:t>
      </w:r>
      <w:hyperlink r:id="rId81"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第三十三条）</w:t>
      </w:r>
    </w:p>
    <w:p w14:paraId="56078C4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省级（含计划单列市）税务机关应于每年7月底以前和次年1月底以前，分别将所确定的重点纳税人的半年和全年的基本情况及收入、纳税等情况，用Excel表格的形式填写《个人所得税重点纳税人收入和纳税情况汇总表》报送国家税务总局（所得税管理司）。</w:t>
      </w:r>
    </w:p>
    <w:p w14:paraId="7A9CE5F1" w14:textId="36C79F2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2"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第三十四条）</w:t>
      </w:r>
    </w:p>
    <w:p w14:paraId="702E3533"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8" w:name="_Toc13327857"/>
      <w:r w:rsidRPr="00F34803">
        <w:rPr>
          <w:rFonts w:asciiTheme="minorEastAsia" w:eastAsiaTheme="minorEastAsia" w:hAnsiTheme="minorEastAsia" w:hint="eastAsia"/>
          <w:color w:val="000000" w:themeColor="text1"/>
          <w:sz w:val="24"/>
          <w:szCs w:val="24"/>
        </w:rPr>
        <w:t>（三）个体工商户、个人独资企业和合伙企业投资者的管理</w:t>
      </w:r>
      <w:bookmarkEnd w:id="28"/>
    </w:p>
    <w:p w14:paraId="37BBE00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各级税务机关应强化对个体工商户、个人独资企业和合伙企业投资者以及独立从事劳务活动的个人的个人所得税征管。</w:t>
      </w:r>
    </w:p>
    <w:p w14:paraId="3D8E9282" w14:textId="194BA80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3"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w:t>
      </w:r>
    </w:p>
    <w:p w14:paraId="21976BE1"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积极推行个体工商户、个人独资企业和合伙企业建账工作，规范财务管理，健全财务制度；有条件的地区应使用税控装置加强对纳税人的管理和监控。</w:t>
      </w:r>
    </w:p>
    <w:p w14:paraId="49126ABC" w14:textId="30AD47E7"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4"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第三十五条第一款）</w:t>
      </w:r>
    </w:p>
    <w:p w14:paraId="62957986"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健全和完善核定征收工作，对账证不全、无法实行查账征收的纳税人，按规定实行核定征收，并根据纳税人经营情况及时进行定额调整。</w:t>
      </w:r>
    </w:p>
    <w:p w14:paraId="1B63F19C" w14:textId="393F6AB7"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5"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第三十五条第二款）</w:t>
      </w:r>
    </w:p>
    <w:p w14:paraId="64389EA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加强税务系统的协作配合，实现信息共享，建立健全个人所得税情报交流和异地协查制度，互通信息，解决同一个投资者在两处或两处以上投资和取得收入合并缴纳个人所得税的监控难题。</w:t>
      </w:r>
    </w:p>
    <w:p w14:paraId="6B2C24BE" w14:textId="6AD6E1C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6"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第三十五条第三款）</w:t>
      </w:r>
    </w:p>
    <w:p w14:paraId="178A7B52" w14:textId="77777777" w:rsidR="00F34803" w:rsidRPr="00F34803" w:rsidRDefault="00F34803" w:rsidP="00F34803">
      <w:pPr>
        <w:pStyle w:val="a7"/>
        <w:shd w:val="clear" w:color="auto" w:fill="FFFFFF"/>
        <w:spacing w:beforeLines="50" w:before="156" w:line="480" w:lineRule="atLeast"/>
        <w:ind w:firstLineChars="200" w:firstLine="480"/>
        <w:rPr>
          <w:rStyle w:val="ad"/>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加强个人投资者从其投资企业借款的管理，对</w:t>
      </w:r>
      <w:r w:rsidRPr="00F34803">
        <w:rPr>
          <w:rFonts w:asciiTheme="minorEastAsia" w:eastAsiaTheme="minorEastAsia" w:hAnsiTheme="minorEastAsia" w:hint="eastAsia"/>
          <w:i/>
          <w:iCs/>
          <w:color w:val="000000" w:themeColor="text1"/>
        </w:rPr>
        <w:t>期限超过一年又未用于企业生产经营的借款，严格按照有关规定征税</w:t>
      </w:r>
      <w:r w:rsidRPr="00F34803">
        <w:rPr>
          <w:rFonts w:asciiTheme="minorEastAsia" w:eastAsiaTheme="minorEastAsia" w:hAnsiTheme="minorEastAsia" w:hint="eastAsia"/>
          <w:color w:val="000000" w:themeColor="text1"/>
        </w:rPr>
        <w:t>。</w:t>
      </w:r>
    </w:p>
    <w:p w14:paraId="36A9BAA7" w14:textId="09C5423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7"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第三十五条第四款）</w:t>
      </w:r>
    </w:p>
    <w:p w14:paraId="286A658C"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lastRenderedPageBreak/>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要严格对个人投资的企业和个体工商户税前扣除的管理，定期进行检查。对个人投资者以企业资金为本人、家庭成员及其相关人员支付的与生产经营无关的消费性、财产性支出，严格按照规定征税。</w:t>
      </w:r>
    </w:p>
    <w:p w14:paraId="14C66D46" w14:textId="27D8EF5F"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8"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第三十五条第五款）</w:t>
      </w:r>
    </w:p>
    <w:p w14:paraId="1B5ADFDD"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加强</w:t>
      </w:r>
      <w:r w:rsidRPr="00F34803">
        <w:rPr>
          <w:rFonts w:asciiTheme="minorEastAsia" w:eastAsiaTheme="minorEastAsia" w:hAnsiTheme="minorEastAsia" w:hint="eastAsia"/>
          <w:b/>
          <w:color w:val="000000" w:themeColor="text1"/>
        </w:rPr>
        <w:t>对从事演出、广告、讲课、医疗等人员的劳务报酬所得</w:t>
      </w:r>
      <w:r w:rsidRPr="00F34803">
        <w:rPr>
          <w:rFonts w:asciiTheme="minorEastAsia" w:eastAsiaTheme="minorEastAsia" w:hAnsiTheme="minorEastAsia" w:hint="eastAsia"/>
          <w:color w:val="000000" w:themeColor="text1"/>
        </w:rPr>
        <w:t>的征收管理，全面推行预扣预缴办法，从源泉上加强征管。</w:t>
      </w:r>
    </w:p>
    <w:p w14:paraId="084AD510" w14:textId="7F4454A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89"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第三十五条第六款）</w:t>
      </w:r>
    </w:p>
    <w:p w14:paraId="39DC8DFF"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29" w:name="_Toc13327858"/>
      <w:r w:rsidRPr="00F34803">
        <w:rPr>
          <w:rFonts w:asciiTheme="minorEastAsia" w:eastAsiaTheme="minorEastAsia" w:hAnsiTheme="minorEastAsia" w:hint="eastAsia"/>
          <w:color w:val="000000" w:themeColor="text1"/>
          <w:sz w:val="24"/>
          <w:szCs w:val="24"/>
        </w:rPr>
        <w:t>（四）重点纳税人的检查</w:t>
      </w:r>
      <w:bookmarkEnd w:id="29"/>
    </w:p>
    <w:p w14:paraId="5D40388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税务机关要加强对重点纳税人、独立纳税人的专项检查，严厉打击涉税违法犯罪行为。各地每年应当通过有关媒体公开曝光2至3起个人所得税违法犯罪案件。</w:t>
      </w:r>
    </w:p>
    <w:p w14:paraId="03C5FC39" w14:textId="4B35C40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0"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第三十六条）</w:t>
      </w:r>
    </w:p>
    <w:p w14:paraId="5D69D45F"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2</w:t>
      </w:r>
      <w:r w:rsidRPr="00F34803">
        <w:rPr>
          <w:rFonts w:asciiTheme="minorEastAsia" w:eastAsiaTheme="minorEastAsia" w:hAnsiTheme="minorEastAsia"/>
          <w:b/>
          <w:color w:val="000000" w:themeColor="text1"/>
        </w:rPr>
        <w:t>.</w:t>
      </w:r>
      <w:r w:rsidRPr="00F34803">
        <w:rPr>
          <w:rFonts w:asciiTheme="minorEastAsia" w:eastAsiaTheme="minorEastAsia" w:hAnsiTheme="minorEastAsia" w:hint="eastAsia"/>
          <w:color w:val="000000" w:themeColor="text1"/>
        </w:rPr>
        <w:t>税务机关要重视和加强重点纳税人、独立纳税人的个人所得税日常检查，及时发现征管漏洞和薄弱环节，制定和完善征管制度、办法。日常检查由省级以下税务机关的征管和税政部门共同组织实施。</w:t>
      </w:r>
    </w:p>
    <w:p w14:paraId="40052D28" w14:textId="0BB57FF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1"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第三十七条第一款）</w:t>
      </w:r>
    </w:p>
    <w:p w14:paraId="21A23FE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实施日常检查应当制定计划，并按规定程序进行，防止多次、重复检查，防止影响纳税人的生产经营。</w:t>
      </w:r>
    </w:p>
    <w:p w14:paraId="687A8218" w14:textId="5549BB8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bookmarkStart w:id="30" w:name="_Hlk54011315"/>
      <w:r w:rsidR="00897803">
        <w:rPr>
          <w:rFonts w:asciiTheme="minorEastAsia" w:eastAsiaTheme="minorEastAsia" w:hAnsiTheme="minorEastAsia"/>
        </w:rPr>
        <w:fldChar w:fldCharType="begin"/>
      </w:r>
      <w:r w:rsidR="00897803">
        <w:rPr>
          <w:rFonts w:asciiTheme="minorEastAsia" w:eastAsiaTheme="minorEastAsia" w:hAnsiTheme="minorEastAsia"/>
        </w:rPr>
        <w:instrText xml:space="preserve"> HYPERLINK "http://ssfb86.com/index/News/detail/newsid/3260.html" </w:instrText>
      </w:r>
      <w:r w:rsidR="00897803">
        <w:rPr>
          <w:rFonts w:asciiTheme="minorEastAsia" w:eastAsiaTheme="minorEastAsia" w:hAnsiTheme="minorEastAsia"/>
        </w:rPr>
      </w:r>
      <w:r w:rsidR="00897803">
        <w:rPr>
          <w:rFonts w:asciiTheme="minorEastAsia" w:eastAsiaTheme="minorEastAsia" w:hAnsiTheme="minorEastAsia"/>
        </w:rPr>
        <w:fldChar w:fldCharType="separate"/>
      </w:r>
      <w:r w:rsidR="00897803" w:rsidRPr="00736D3A">
        <w:rPr>
          <w:rStyle w:val="a8"/>
          <w:rFonts w:asciiTheme="minorEastAsia" w:eastAsiaTheme="minorEastAsia" w:hAnsiTheme="minorEastAsia" w:hint="eastAsia"/>
        </w:rPr>
        <w:t>国税发[2005]120号</w:t>
      </w:r>
      <w:r w:rsidR="00897803">
        <w:rPr>
          <w:rFonts w:asciiTheme="minorEastAsia" w:eastAsiaTheme="minorEastAsia" w:hAnsiTheme="minorEastAsia"/>
        </w:rPr>
        <w:fldChar w:fldCharType="end"/>
      </w:r>
      <w:bookmarkEnd w:id="30"/>
      <w:r w:rsidRPr="00F34803">
        <w:rPr>
          <w:rFonts w:asciiTheme="minorEastAsia" w:eastAsiaTheme="minorEastAsia" w:hAnsiTheme="minorEastAsia" w:hint="eastAsia"/>
          <w:b/>
          <w:color w:val="000000" w:themeColor="text1"/>
        </w:rPr>
        <w:t>第三十七条第二款）</w:t>
      </w:r>
    </w:p>
    <w:p w14:paraId="3EDDB241"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31" w:name="_Toc13327859"/>
      <w:r w:rsidRPr="00F34803">
        <w:rPr>
          <w:rFonts w:asciiTheme="minorEastAsia" w:hAnsiTheme="minorEastAsia" w:hint="eastAsia"/>
          <w:color w:val="000000" w:themeColor="text1"/>
          <w:sz w:val="24"/>
          <w:szCs w:val="24"/>
        </w:rPr>
        <w:t>七、加强税源的源泉管理</w:t>
      </w:r>
      <w:bookmarkEnd w:id="31"/>
    </w:p>
    <w:p w14:paraId="5A0C31CB"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（一）税务机关应严格税务登记管理制度，认真开展漏征漏管户的清理工作，摸清底数。</w:t>
      </w:r>
    </w:p>
    <w:p w14:paraId="20DF0BD8" w14:textId="312F6A9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2"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第三十八条）</w:t>
      </w:r>
    </w:p>
    <w:p w14:paraId="27D621CE"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lastRenderedPageBreak/>
        <w:t>（二）税务机关应按照有关要求建立和健全纳税人、扣缴义务人的档案，切实加强个人所得税税源管理。</w:t>
      </w:r>
    </w:p>
    <w:p w14:paraId="5CDBA87C" w14:textId="430B322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3"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第三十九条）</w:t>
      </w:r>
    </w:p>
    <w:p w14:paraId="71DB964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（三）税务机关应继续做好代扣代缴工作，提高扣缴质量和水平：</w:t>
      </w:r>
    </w:p>
    <w:p w14:paraId="10211DF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要继续贯彻落实已有的个人所得税代扣代缴工作制度和办法，并在实践中不断完善提高。</w:t>
      </w:r>
    </w:p>
    <w:p w14:paraId="6186CC5E" w14:textId="06D120B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bookmarkStart w:id="32" w:name="_Hlk13318433"/>
      <w:r w:rsidRPr="00F34803">
        <w:rPr>
          <w:rFonts w:asciiTheme="minorEastAsia" w:eastAsiaTheme="minorEastAsia" w:hAnsiTheme="minorEastAsia" w:hint="eastAsia"/>
          <w:b/>
          <w:color w:val="000000" w:themeColor="text1"/>
        </w:rPr>
        <w:t>（</w:t>
      </w:r>
      <w:hyperlink r:id="rId94"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第四十条第一款）</w:t>
      </w:r>
    </w:p>
    <w:bookmarkEnd w:id="32"/>
    <w:p w14:paraId="0B5B0ADE"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要对本地区所有行政、企事业单位、社会团体等扣缴义务人进行清理和摸底，在此基础上按照纳税档案管理的指标建立扣缴义务人台账或基本账户，对其实行跟踪管理。</w:t>
      </w:r>
    </w:p>
    <w:p w14:paraId="3EBC9C86" w14:textId="6DBD4A68"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5"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第四十条第二款）</w:t>
      </w:r>
    </w:p>
    <w:p w14:paraId="64CD8B2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配合全员全额管理，推行扣缴义务人支付个人收入明细申报制度。</w:t>
      </w:r>
    </w:p>
    <w:p w14:paraId="3C606C80" w14:textId="0DDD367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6"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第四十条第三款）</w:t>
      </w:r>
    </w:p>
    <w:p w14:paraId="5A2F44B6"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对下列行业应实行重点税源管理：</w:t>
      </w:r>
      <w:r w:rsidRPr="00F34803">
        <w:rPr>
          <w:rFonts w:asciiTheme="minorEastAsia" w:eastAsiaTheme="minorEastAsia" w:hAnsiTheme="minorEastAsia" w:hint="eastAsia"/>
          <w:b/>
          <w:color w:val="000000" w:themeColor="text1"/>
        </w:rPr>
        <w:t>金融、保险、证券、电力、电信、石油、石化、烟草、民航、铁道、房地产、学校、医院、城市供水供气、出版社、公路管理、外商投资企业、高新技术企业、中介机构、体育俱乐部等高收入行业；连续3年（含3年）为零申报的代扣代缴单位（以下简称长期零申报单位）</w:t>
      </w:r>
      <w:r w:rsidRPr="00F34803">
        <w:rPr>
          <w:rFonts w:asciiTheme="minorEastAsia" w:eastAsiaTheme="minorEastAsia" w:hAnsiTheme="minorEastAsia" w:hint="eastAsia"/>
          <w:color w:val="000000" w:themeColor="text1"/>
        </w:rPr>
        <w:t>。</w:t>
      </w:r>
    </w:p>
    <w:p w14:paraId="626BEEA1" w14:textId="0FB5FE0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7"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第四十条第四款）</w:t>
      </w:r>
    </w:p>
    <w:p w14:paraId="61AE81A2"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w:t>
      </w:r>
      <w:r w:rsidRPr="00F34803">
        <w:rPr>
          <w:rFonts w:asciiTheme="minorEastAsia" w:eastAsiaTheme="minorEastAsia" w:hAnsiTheme="minorEastAsia"/>
          <w:color w:val="000000" w:themeColor="text1"/>
        </w:rPr>
        <w:t>.</w:t>
      </w:r>
      <w:r w:rsidRPr="00F34803">
        <w:rPr>
          <w:rFonts w:asciiTheme="minorEastAsia" w:eastAsiaTheme="minorEastAsia" w:hAnsiTheme="minorEastAsia" w:hint="eastAsia"/>
          <w:color w:val="000000" w:themeColor="text1"/>
        </w:rPr>
        <w:t>对重点税源管理的行业、单位和长期零申报单位，应将其列为每年开展专项检查的重点对象，或对其纳税申报材料进行重点审核。</w:t>
      </w:r>
    </w:p>
    <w:p w14:paraId="7EB01A4F" w14:textId="77A50DA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8"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第四十条第五款）</w:t>
      </w:r>
    </w:p>
    <w:p w14:paraId="44EE4F92"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lastRenderedPageBreak/>
        <w:t>（四）</w:t>
      </w:r>
      <w:r w:rsidRPr="00F34803">
        <w:rPr>
          <w:rFonts w:asciiTheme="minorEastAsia" w:eastAsiaTheme="minorEastAsia" w:hAnsiTheme="minorEastAsia" w:hint="eastAsia"/>
          <w:color w:val="000000" w:themeColor="text1"/>
        </w:rPr>
        <w:t>各级税务机关应充分利用与各部门配合的协作制度，从公安、工商、银行、文化、体育、房管、劳动、外汇管理等社会公共部门获取税源信息。</w:t>
      </w:r>
    </w:p>
    <w:p w14:paraId="056F6C15" w14:textId="6D7DCCFD"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99"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第四十一条）</w:t>
      </w:r>
    </w:p>
    <w:p w14:paraId="1E922584"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（五）</w:t>
      </w:r>
      <w:r w:rsidRPr="00F34803">
        <w:rPr>
          <w:rFonts w:asciiTheme="minorEastAsia" w:eastAsiaTheme="minorEastAsia" w:hAnsiTheme="minorEastAsia" w:hint="eastAsia"/>
          <w:color w:val="000000" w:themeColor="text1"/>
        </w:rPr>
        <w:t>各级税务机关应利用从有关部门获取的信息，加强税源管理、进行纳税评估。税务机关应定期分析税源变化情况，对变动较大等异常情况，应及时分析原因，采取相应管理措施。</w:t>
      </w:r>
    </w:p>
    <w:p w14:paraId="67B60228" w14:textId="43C76F7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0"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第四十二条）</w:t>
      </w:r>
    </w:p>
    <w:p w14:paraId="4C7DA421" w14:textId="0CD32568"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（六）</w:t>
      </w:r>
      <w:r w:rsidRPr="00F34803">
        <w:rPr>
          <w:rFonts w:asciiTheme="minorEastAsia" w:eastAsiaTheme="minorEastAsia" w:hAnsiTheme="minorEastAsia" w:hint="eastAsia"/>
          <w:color w:val="000000" w:themeColor="text1"/>
        </w:rPr>
        <w:t>各级税务机关在加强查帐征收工作的基础上，对符合</w:t>
      </w:r>
      <w:hyperlink r:id="rId101" w:tgtFrame="_self" w:history="1">
        <w:r w:rsidR="00E365EE" w:rsidRPr="00E365EE">
          <w:rPr>
            <w:rFonts w:asciiTheme="minorHAnsi" w:eastAsiaTheme="minorEastAsia" w:hAnsiTheme="minorHAnsi" w:cstheme="minorBidi" w:hint="eastAsia"/>
            <w:color w:val="6E6E6E"/>
            <w:kern w:val="2"/>
            <w:sz w:val="21"/>
            <w:szCs w:val="22"/>
            <w:u w:val="single"/>
            <w:shd w:val="clear" w:color="auto" w:fill="FFFFFF"/>
          </w:rPr>
          <w:t>征管法</w:t>
        </w:r>
      </w:hyperlink>
      <w:r w:rsidRPr="00F34803">
        <w:rPr>
          <w:rFonts w:asciiTheme="minorEastAsia" w:eastAsiaTheme="minorEastAsia" w:hAnsiTheme="minorEastAsia" w:hint="eastAsia"/>
          <w:color w:val="000000" w:themeColor="text1"/>
        </w:rPr>
        <w:t>第三十五条规定情形的，采取定期定额征收和核定应税所得率征收，以及其它合理的办法核定征收个人所得税。</w:t>
      </w:r>
    </w:p>
    <w:p w14:paraId="0B0E5989" w14:textId="72DC38D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2"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第四十三条第一款）</w:t>
      </w:r>
    </w:p>
    <w:p w14:paraId="408DA48D"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对共管个体工商户的应纳税经营额由国家税务局负责核定。</w:t>
      </w:r>
    </w:p>
    <w:p w14:paraId="14EE8F84" w14:textId="24F2C75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3"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第四十三条第二款）</w:t>
      </w:r>
    </w:p>
    <w:p w14:paraId="1F0469B6"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主管税务机关在确定对纳税人的核定征收方式后，要选择有代表性的典型户进行调查，在此基础上确定应纳税额。典型调查面不得低于核定征收纳税人的3%.</w:t>
      </w:r>
    </w:p>
    <w:p w14:paraId="07582BC9" w14:textId="699FAA06"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bookmarkStart w:id="33" w:name="_Hlk13318522"/>
      <w:r w:rsidRPr="00F34803">
        <w:rPr>
          <w:rFonts w:asciiTheme="minorEastAsia" w:eastAsiaTheme="minorEastAsia" w:hAnsiTheme="minorEastAsia" w:hint="eastAsia"/>
          <w:b/>
          <w:color w:val="000000" w:themeColor="text1"/>
        </w:rPr>
        <w:t>（</w:t>
      </w:r>
      <w:hyperlink r:id="rId104"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第四十四条）</w:t>
      </w:r>
    </w:p>
    <w:p w14:paraId="5C946821"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34" w:name="_Toc13327860"/>
      <w:bookmarkEnd w:id="33"/>
      <w:r w:rsidRPr="00F34803">
        <w:rPr>
          <w:rFonts w:asciiTheme="minorEastAsia" w:hAnsiTheme="minorEastAsia" w:hint="eastAsia"/>
          <w:color w:val="000000" w:themeColor="text1"/>
          <w:sz w:val="24"/>
          <w:szCs w:val="24"/>
        </w:rPr>
        <w:t>八、加强全员全额管理</w:t>
      </w:r>
      <w:bookmarkEnd w:id="34"/>
    </w:p>
    <w:p w14:paraId="446B96F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全员全额管理是指，凡取得应税收入的个人，无论收入额是否达到个人所得税的纳税标准，均应就其取得的全部收入，通过代扣代缴和个人申报，全部纳入税务机关管理。</w:t>
      </w:r>
    </w:p>
    <w:p w14:paraId="6E8BB841" w14:textId="27B2814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5"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第四十五条）</w:t>
      </w:r>
    </w:p>
    <w:p w14:paraId="012881BD"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lastRenderedPageBreak/>
        <w:t>（一）</w:t>
      </w:r>
      <w:r w:rsidRPr="00F34803">
        <w:rPr>
          <w:rFonts w:asciiTheme="minorEastAsia" w:eastAsiaTheme="minorEastAsia" w:hAnsiTheme="minorEastAsia" w:hint="eastAsia"/>
          <w:color w:val="000000" w:themeColor="text1"/>
        </w:rPr>
        <w:t>各级税务机关应本着先扣缴义务人后纳税人，先重点行业、企业和纳税人后一般行业、企业和纳税人，先进“笼子”后规范的原则，积极稳妥地推进全员全额管理工作。</w:t>
      </w:r>
    </w:p>
    <w:p w14:paraId="0A05E756" w14:textId="035A69B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6"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第四十六条）</w:t>
      </w:r>
    </w:p>
    <w:p w14:paraId="1F888026"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（三）</w:t>
      </w:r>
      <w:r w:rsidRPr="00F34803">
        <w:rPr>
          <w:rFonts w:asciiTheme="minorEastAsia" w:eastAsiaTheme="minorEastAsia" w:hAnsiTheme="minorEastAsia" w:hint="eastAsia"/>
          <w:color w:val="000000" w:themeColor="text1"/>
        </w:rPr>
        <w:t>各级税务机关要按照规定和要求，尽快建立个人收入档案管理制度、代扣代缴明细账制度、纳税人与扣缴义务人向税务机关双向申报制度、与社会各部门配合的协税制度，为实施全员全额管理打下基础。</w:t>
      </w:r>
    </w:p>
    <w:p w14:paraId="52A8EFBB" w14:textId="791D3CD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7"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第四十七条）</w:t>
      </w:r>
    </w:p>
    <w:p w14:paraId="3601CACA"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（四）</w:t>
      </w:r>
      <w:r w:rsidRPr="00F34803">
        <w:rPr>
          <w:rFonts w:asciiTheme="minorEastAsia" w:eastAsiaTheme="minorEastAsia" w:hAnsiTheme="minorEastAsia" w:hint="eastAsia"/>
          <w:color w:val="000000" w:themeColor="text1"/>
        </w:rPr>
        <w:t>各级税务机关应积极创造条件，并根据金税工程三期的总体规划和有关要求，依托信息化手段，逐步实现全员全额申报管理，并在此基础上，为每个纳税人开具完税凭证（证明）。</w:t>
      </w:r>
    </w:p>
    <w:p w14:paraId="7DCD6E1D" w14:textId="68D42B7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8"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第四十八条）</w:t>
      </w:r>
    </w:p>
    <w:p w14:paraId="4D063A5B"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（五）</w:t>
      </w:r>
      <w:r w:rsidRPr="00F34803">
        <w:rPr>
          <w:rFonts w:asciiTheme="minorEastAsia" w:eastAsiaTheme="minorEastAsia" w:hAnsiTheme="minorEastAsia" w:hint="eastAsia"/>
          <w:color w:val="000000" w:themeColor="text1"/>
        </w:rPr>
        <w:t>税务机关应充分利用全员全额管理掌握的纳税人信息、扣缴义务人信息、税源监控信息、有关部门、媒体提供的信息、税收管理人员实地采集的信息等，依据国家有关法律和政策法规的规定，对自行申报纳税人纳税申报情况和扣缴义务人扣缴税情况的真实性、准确性进行分析、判断，开展个人所得税纳税评估，提高全员全额管理的质量。</w:t>
      </w:r>
    </w:p>
    <w:p w14:paraId="02F99D96" w14:textId="7A80D2A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09"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第四十九条）</w:t>
      </w:r>
    </w:p>
    <w:p w14:paraId="3D1F45E1"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（六）</w:t>
      </w:r>
      <w:r w:rsidRPr="00F34803">
        <w:rPr>
          <w:rFonts w:asciiTheme="minorEastAsia" w:eastAsiaTheme="minorEastAsia" w:hAnsiTheme="minorEastAsia" w:hint="eastAsia"/>
          <w:color w:val="000000" w:themeColor="text1"/>
        </w:rPr>
        <w:t>税务机关应加强个人独资和合伙企业投资者、个体工商户、独立劳务者等无扣缴义务人的独立纳税人的基础信息和税源管理工作。</w:t>
      </w:r>
    </w:p>
    <w:p w14:paraId="73C8A007" w14:textId="2CDF2D2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0"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第五十条）</w:t>
      </w:r>
    </w:p>
    <w:p w14:paraId="72B034D6"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（七）</w:t>
      </w:r>
      <w:r w:rsidRPr="00F34803">
        <w:rPr>
          <w:rFonts w:asciiTheme="minorEastAsia" w:eastAsiaTheme="minorEastAsia" w:hAnsiTheme="minorEastAsia" w:hint="eastAsia"/>
          <w:color w:val="000000" w:themeColor="text1"/>
        </w:rPr>
        <w:t>个人所得税纳税评估应按“人机结合”的方式进行，其基本原理和流程是：根据当地居民收入水平及其变动、行业收入水平及其变动等影响个人所得税的相关因素，建立纳税评估分析系统；根据税收收入增减额、增减率或行业平均指标模型确定出纳税评估的重点对象；对纳税评估对象进行具体评估</w:t>
      </w:r>
      <w:r w:rsidRPr="00F34803">
        <w:rPr>
          <w:rFonts w:asciiTheme="minorEastAsia" w:eastAsiaTheme="minorEastAsia" w:hAnsiTheme="minorEastAsia" w:hint="eastAsia"/>
          <w:color w:val="000000" w:themeColor="text1"/>
        </w:rPr>
        <w:lastRenderedPageBreak/>
        <w:t>分析，查找锁定引起该扣缴义务人或者纳税人个人所得税变化的具体因素；据此与评估对象进行约谈，要求其说明情况并纠正错误，或者交由稽查部门实施稽查，并进行后续的重点管理。</w:t>
      </w:r>
    </w:p>
    <w:p w14:paraId="6CE7DF2A" w14:textId="2F26946C"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b/>
          <w:color w:val="000000" w:themeColor="text1"/>
        </w:rPr>
      </w:pPr>
      <w:r w:rsidRPr="00F34803">
        <w:rPr>
          <w:rFonts w:asciiTheme="minorEastAsia" w:eastAsiaTheme="minorEastAsia" w:hAnsiTheme="minorEastAsia" w:hint="eastAsia"/>
          <w:b/>
          <w:color w:val="000000" w:themeColor="text1"/>
        </w:rPr>
        <w:t>（</w:t>
      </w:r>
      <w:hyperlink r:id="rId111"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第五十一条）</w:t>
      </w:r>
    </w:p>
    <w:p w14:paraId="16693DFB"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35" w:name="_Toc13327861"/>
      <w:r w:rsidRPr="00F34803">
        <w:rPr>
          <w:rFonts w:asciiTheme="minorEastAsia" w:hAnsiTheme="minorEastAsia" w:hint="eastAsia"/>
          <w:color w:val="000000" w:themeColor="text1"/>
          <w:sz w:val="24"/>
          <w:szCs w:val="24"/>
        </w:rPr>
        <w:t>九、纳税评估</w:t>
      </w:r>
      <w:bookmarkEnd w:id="35"/>
    </w:p>
    <w:p w14:paraId="5E7B7310" w14:textId="77777777"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36" w:name="_Toc13327862"/>
      <w:r w:rsidRPr="00F34803">
        <w:rPr>
          <w:rFonts w:asciiTheme="minorEastAsia" w:eastAsiaTheme="minorEastAsia" w:hAnsiTheme="minorEastAsia" w:hint="eastAsia"/>
          <w:color w:val="000000" w:themeColor="text1"/>
          <w:sz w:val="24"/>
          <w:szCs w:val="24"/>
        </w:rPr>
        <w:t>（一）信息采集</w:t>
      </w:r>
      <w:bookmarkEnd w:id="36"/>
    </w:p>
    <w:p w14:paraId="40FA2573"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税务机关应按以下范围和来源采集纳税评估的信息：</w:t>
      </w:r>
    </w:p>
    <w:p w14:paraId="577B7130"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37" w:name="_Toc13327863"/>
      <w:r w:rsidRPr="00F34803">
        <w:rPr>
          <w:rFonts w:asciiTheme="minorEastAsia" w:hAnsiTheme="minorEastAsia" w:hint="eastAsia"/>
          <w:color w:val="000000" w:themeColor="text1"/>
          <w:sz w:val="24"/>
          <w:szCs w:val="24"/>
        </w:rPr>
        <w:t>1</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信息采集的范围</w:t>
      </w:r>
      <w:bookmarkEnd w:id="37"/>
    </w:p>
    <w:p w14:paraId="35B2120F" w14:textId="2104A7E3"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2"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第五十二条第一款）</w:t>
      </w:r>
    </w:p>
    <w:p w14:paraId="0B6B983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（1）当地职工年平均工资、月均工资水平。</w:t>
      </w:r>
    </w:p>
    <w:p w14:paraId="39BAB2B2"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（2）当地分行业职工年平均工资、月均工资水平。</w:t>
      </w:r>
    </w:p>
    <w:p w14:paraId="4A662C28"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（3）当地分行业资金利润率。</w:t>
      </w:r>
    </w:p>
    <w:p w14:paraId="4CB8DE0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（4）企业财务报表相关数据。</w:t>
      </w:r>
    </w:p>
    <w:p w14:paraId="6B2AE18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（5）股份制企业分配股息、红利情况。</w:t>
      </w:r>
    </w:p>
    <w:p w14:paraId="6719CA5B"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（6）其他有关数据。</w:t>
      </w:r>
    </w:p>
    <w:p w14:paraId="637503C3"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38" w:name="_Toc13327864"/>
      <w:r w:rsidRPr="00F34803">
        <w:rPr>
          <w:rFonts w:asciiTheme="minorEastAsia" w:hAnsiTheme="minorEastAsia" w:hint="eastAsia"/>
          <w:color w:val="000000" w:themeColor="text1"/>
          <w:sz w:val="24"/>
          <w:szCs w:val="24"/>
        </w:rPr>
        <w:t>2</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信息采集的来源</w:t>
      </w:r>
      <w:bookmarkEnd w:id="38"/>
    </w:p>
    <w:p w14:paraId="1B1E2F9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（1）税务登记的有关信息。</w:t>
      </w:r>
    </w:p>
    <w:p w14:paraId="7014DFA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（2）纳税申报的有关信息。</w:t>
      </w:r>
    </w:p>
    <w:p w14:paraId="6BD569D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w:t>
      </w:r>
      <w:r w:rsidRPr="00F34803">
        <w:rPr>
          <w:rFonts w:asciiTheme="minorEastAsia" w:eastAsiaTheme="minorEastAsia" w:hAnsiTheme="minorEastAsia"/>
          <w:color w:val="000000" w:themeColor="text1"/>
        </w:rPr>
        <w:t>3</w:t>
      </w:r>
      <w:r w:rsidRPr="00F34803">
        <w:rPr>
          <w:rFonts w:asciiTheme="minorEastAsia" w:eastAsiaTheme="minorEastAsia" w:hAnsiTheme="minorEastAsia" w:hint="eastAsia"/>
          <w:color w:val="000000" w:themeColor="text1"/>
        </w:rPr>
        <w:t>）会计报表有关信息。</w:t>
      </w:r>
    </w:p>
    <w:p w14:paraId="754ABC0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（4）税控收款装置的有关信息。</w:t>
      </w:r>
    </w:p>
    <w:p w14:paraId="4F1BCDFA"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w:t>
      </w:r>
      <w:r w:rsidRPr="00F34803">
        <w:rPr>
          <w:rFonts w:asciiTheme="minorEastAsia" w:eastAsiaTheme="minorEastAsia" w:hAnsiTheme="minorEastAsia"/>
          <w:color w:val="000000" w:themeColor="text1"/>
        </w:rPr>
        <w:t>5</w:t>
      </w:r>
      <w:r w:rsidRPr="00F34803">
        <w:rPr>
          <w:rFonts w:asciiTheme="minorEastAsia" w:eastAsiaTheme="minorEastAsia" w:hAnsiTheme="minorEastAsia" w:hint="eastAsia"/>
          <w:color w:val="000000" w:themeColor="text1"/>
        </w:rPr>
        <w:t>）中介机构出具的审计报告、评估报告的信息。</w:t>
      </w:r>
    </w:p>
    <w:p w14:paraId="78B9D8A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（6）相关部门、媒体提供的信息。</w:t>
      </w:r>
    </w:p>
    <w:p w14:paraId="0CB9103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（7）税收管理人员到纳税户了解采集的信息。</w:t>
      </w:r>
    </w:p>
    <w:p w14:paraId="32AF61D9"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lastRenderedPageBreak/>
        <w:t>（8）其他途径采集的纳税人和扣缴义务人与个人所得税征管有关的信息。</w:t>
      </w:r>
    </w:p>
    <w:p w14:paraId="0D499C33" w14:textId="741341B7"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3"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第五十二条第二款）</w:t>
      </w:r>
    </w:p>
    <w:p w14:paraId="5BFA0640" w14:textId="50C89B48"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税务机关应设置纳税评估分析指标、财务分析指标、业户不良记录评析指标，通过分析确定某一期间个人所得税的总体税源发生增减变化的主要行业、主要企业、主要群体，确定纳税评估重点对象。个人所得税纳税评估的程序、指标、方法等按照总局《</w:t>
      </w:r>
      <w:hyperlink r:id="rId114" w:tgtFrame="_self" w:history="1">
        <w:r w:rsidR="00814168" w:rsidRPr="00814168">
          <w:rPr>
            <w:rFonts w:asciiTheme="minorHAnsi" w:eastAsiaTheme="minorEastAsia" w:hAnsiTheme="minorHAnsi" w:cstheme="minorBidi" w:hint="eastAsia"/>
            <w:color w:val="6E6E6E"/>
            <w:kern w:val="2"/>
            <w:sz w:val="21"/>
            <w:szCs w:val="22"/>
            <w:u w:val="single"/>
            <w:shd w:val="clear" w:color="auto" w:fill="FFFFFF"/>
          </w:rPr>
          <w:t>纳税评估管理办法</w:t>
        </w:r>
      </w:hyperlink>
      <w:r w:rsidRPr="00F34803">
        <w:rPr>
          <w:rFonts w:asciiTheme="minorEastAsia" w:eastAsiaTheme="minorEastAsia" w:hAnsiTheme="minorEastAsia" w:hint="eastAsia"/>
          <w:color w:val="000000" w:themeColor="text1"/>
        </w:rPr>
        <w:t>》（试行）及相关规定执行。</w:t>
      </w:r>
    </w:p>
    <w:p w14:paraId="21CEA828" w14:textId="4FFF671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5"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第五十三条）</w:t>
      </w:r>
    </w:p>
    <w:p w14:paraId="1015D762" w14:textId="0E96C3D4" w:rsidR="00F34803" w:rsidRPr="00F34803" w:rsidRDefault="00F34803" w:rsidP="00F34803">
      <w:pPr>
        <w:pStyle w:val="2"/>
        <w:spacing w:before="50" w:after="0" w:line="480" w:lineRule="atLeast"/>
        <w:rPr>
          <w:rFonts w:asciiTheme="minorEastAsia" w:eastAsiaTheme="minorEastAsia" w:hAnsiTheme="minorEastAsia"/>
          <w:color w:val="000000" w:themeColor="text1"/>
          <w:sz w:val="24"/>
          <w:szCs w:val="24"/>
        </w:rPr>
      </w:pPr>
      <w:bookmarkStart w:id="39" w:name="_Toc13327865"/>
      <w:r w:rsidRPr="00F34803">
        <w:rPr>
          <w:rFonts w:asciiTheme="minorEastAsia" w:eastAsiaTheme="minorEastAsia" w:hAnsiTheme="minorEastAsia" w:hint="eastAsia"/>
          <w:color w:val="000000" w:themeColor="text1"/>
          <w:sz w:val="24"/>
          <w:szCs w:val="24"/>
        </w:rPr>
        <w:t>（二）纳税评估项目</w:t>
      </w:r>
      <w:bookmarkEnd w:id="39"/>
    </w:p>
    <w:p w14:paraId="30F47DB4"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个人所得税纳税评估主要从以下项目进行：</w:t>
      </w:r>
    </w:p>
    <w:p w14:paraId="2E873796"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40" w:name="_Toc13327866"/>
      <w:r w:rsidRPr="00F34803">
        <w:rPr>
          <w:rFonts w:asciiTheme="minorEastAsia" w:hAnsiTheme="minorEastAsia" w:hint="eastAsia"/>
          <w:color w:val="000000" w:themeColor="text1"/>
          <w:sz w:val="24"/>
          <w:szCs w:val="24"/>
        </w:rPr>
        <w:t>1</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工资、薪金所得</w:t>
      </w:r>
      <w:bookmarkEnd w:id="40"/>
    </w:p>
    <w:p w14:paraId="146C3D2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应重点分析工资总额增减率与该项目税款增减率对比情况，人均工资增减率与人均该项目税款增减率对比情况，税款增减率与企业利润增减率对比分析，同行业、同职务人员的收入和纳税情况对比分析。</w:t>
      </w:r>
    </w:p>
    <w:p w14:paraId="1771C0FB" w14:textId="7F8F47D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6"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第五十四条第一款）</w:t>
      </w:r>
    </w:p>
    <w:p w14:paraId="0205142F"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41" w:name="_Toc13327867"/>
      <w:r w:rsidRPr="00F34803">
        <w:rPr>
          <w:rFonts w:asciiTheme="minorEastAsia" w:hAnsiTheme="minorEastAsia" w:hint="eastAsia"/>
          <w:color w:val="000000" w:themeColor="text1"/>
          <w:sz w:val="24"/>
          <w:szCs w:val="24"/>
        </w:rPr>
        <w:t>2</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利息、股息、红利所得</w:t>
      </w:r>
      <w:bookmarkEnd w:id="41"/>
    </w:p>
    <w:p w14:paraId="17E40EFE"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应重点分析当年该项目税款与上年同期对比情况，该项目税款增减率与企业利润增减率对比情况，企业转增个人股本情况，企业税后利润分配情况。</w:t>
      </w:r>
    </w:p>
    <w:p w14:paraId="231FD76E" w14:textId="5F8E1D08"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7"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第五十四条第二款）</w:t>
      </w:r>
    </w:p>
    <w:p w14:paraId="17986770"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42" w:name="_Toc13327868"/>
      <w:r w:rsidRPr="00F34803">
        <w:rPr>
          <w:rFonts w:asciiTheme="minorEastAsia" w:hAnsiTheme="minorEastAsia" w:hint="eastAsia"/>
          <w:color w:val="000000" w:themeColor="text1"/>
          <w:sz w:val="24"/>
          <w:szCs w:val="24"/>
        </w:rPr>
        <w:t>3</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个体工商户的生产、经营所得（含个人独资企业和合伙企业），</w:t>
      </w:r>
      <w:bookmarkEnd w:id="42"/>
    </w:p>
    <w:p w14:paraId="4CC4EA4F"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应重点分析当年与上年该项目税款对比情况，该项目税款增减率与企业利润增减率对比情况；税前扣除项目是否符合现行政策规定；是否连续多个月零申报；同地区、同行业个体工商户生产、经营所得的税负对比情况。</w:t>
      </w:r>
    </w:p>
    <w:p w14:paraId="395DC280" w14:textId="430E426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8"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第五十四条第三款）</w:t>
      </w:r>
    </w:p>
    <w:p w14:paraId="5CFB6E42"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43" w:name="_Toc13327869"/>
      <w:r w:rsidRPr="00F34803">
        <w:rPr>
          <w:rFonts w:asciiTheme="minorEastAsia" w:hAnsiTheme="minorEastAsia" w:hint="eastAsia"/>
          <w:color w:val="000000" w:themeColor="text1"/>
          <w:sz w:val="24"/>
          <w:szCs w:val="24"/>
        </w:rPr>
        <w:lastRenderedPageBreak/>
        <w:t>4</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对企事业单位的承包经营、承租经营所得，</w:t>
      </w:r>
      <w:bookmarkEnd w:id="43"/>
    </w:p>
    <w:p w14:paraId="34C1B7F0"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应重点分析当年与上年该项目税款对比情况，该项目税款增减率与企业利润增减率对比情况，其行业利润率、上缴税款占利润总额的比重等情况；是否连续多个月零申报；同地区、同行业对企事业单位的承包经营、承租经营所得的税负对比情况。</w:t>
      </w:r>
    </w:p>
    <w:p w14:paraId="06BA437D" w14:textId="0CD18562"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19"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第五十四条第四款）</w:t>
      </w:r>
    </w:p>
    <w:p w14:paraId="32BBC8F6"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44" w:name="_Toc13327870"/>
      <w:r w:rsidRPr="00F34803">
        <w:rPr>
          <w:rFonts w:asciiTheme="minorEastAsia" w:hAnsiTheme="minorEastAsia" w:hint="eastAsia"/>
          <w:color w:val="000000" w:themeColor="text1"/>
          <w:sz w:val="24"/>
          <w:szCs w:val="24"/>
        </w:rPr>
        <w:t>5</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劳务报酬所得，</w:t>
      </w:r>
      <w:bookmarkEnd w:id="44"/>
    </w:p>
    <w:p w14:paraId="691941D5"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应重点分析纳税人取得的所得与过去对比情况，支付劳务费的合同、协议、项目情况，单位白条列支劳务报酬情况。</w:t>
      </w:r>
    </w:p>
    <w:p w14:paraId="08FF78A0" w14:textId="55D4E8EE"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0"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第五十四条第五款）</w:t>
      </w:r>
    </w:p>
    <w:p w14:paraId="4BC34959" w14:textId="77777777" w:rsidR="00F34803" w:rsidRPr="00F34803" w:rsidRDefault="00F34803" w:rsidP="00F34803">
      <w:pPr>
        <w:pStyle w:val="3"/>
        <w:spacing w:before="50" w:after="0" w:line="480" w:lineRule="atLeast"/>
        <w:rPr>
          <w:rFonts w:asciiTheme="minorEastAsia" w:hAnsiTheme="minorEastAsia"/>
          <w:color w:val="000000" w:themeColor="text1"/>
          <w:sz w:val="24"/>
          <w:szCs w:val="24"/>
        </w:rPr>
      </w:pPr>
      <w:bookmarkStart w:id="45" w:name="_Toc13327871"/>
      <w:r w:rsidRPr="00F34803">
        <w:rPr>
          <w:rFonts w:asciiTheme="minorEastAsia" w:hAnsiTheme="minorEastAsia" w:hint="eastAsia"/>
          <w:color w:val="000000" w:themeColor="text1"/>
          <w:sz w:val="24"/>
          <w:szCs w:val="24"/>
        </w:rPr>
        <w:t>6</w:t>
      </w:r>
      <w:r w:rsidRPr="00F34803">
        <w:rPr>
          <w:rFonts w:asciiTheme="minorEastAsia" w:hAnsiTheme="minorEastAsia"/>
          <w:color w:val="000000" w:themeColor="text1"/>
          <w:sz w:val="24"/>
          <w:szCs w:val="24"/>
        </w:rPr>
        <w:t>.</w:t>
      </w:r>
      <w:r w:rsidRPr="00F34803">
        <w:rPr>
          <w:rFonts w:asciiTheme="minorEastAsia" w:hAnsiTheme="minorEastAsia" w:hint="eastAsia"/>
          <w:color w:val="000000" w:themeColor="text1"/>
          <w:sz w:val="24"/>
          <w:szCs w:val="24"/>
        </w:rPr>
        <w:t>其他各项所得，</w:t>
      </w:r>
      <w:bookmarkEnd w:id="45"/>
    </w:p>
    <w:p w14:paraId="1DE1B027"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t>应结合个人所得税征管实际，选择有针对性的评估指标进行评估分析。</w:t>
      </w:r>
    </w:p>
    <w:p w14:paraId="762F9351" w14:textId="6D6616C4"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1"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第五十四条第六款）</w:t>
      </w:r>
    </w:p>
    <w:p w14:paraId="1A3391C0" w14:textId="77777777" w:rsidR="00F34803" w:rsidRPr="00F34803" w:rsidRDefault="00F34803" w:rsidP="00F34803">
      <w:pPr>
        <w:pStyle w:val="1"/>
        <w:spacing w:before="50" w:after="0" w:line="480" w:lineRule="atLeast"/>
        <w:rPr>
          <w:rFonts w:asciiTheme="minorEastAsia" w:hAnsiTheme="minorEastAsia"/>
          <w:color w:val="000000" w:themeColor="text1"/>
          <w:sz w:val="24"/>
          <w:szCs w:val="24"/>
        </w:rPr>
      </w:pPr>
      <w:bookmarkStart w:id="46" w:name="_Toc13327872"/>
      <w:r w:rsidRPr="00F34803">
        <w:rPr>
          <w:rFonts w:asciiTheme="minorEastAsia" w:hAnsiTheme="minorEastAsia" w:hint="eastAsia"/>
          <w:color w:val="000000" w:themeColor="text1"/>
          <w:sz w:val="24"/>
          <w:szCs w:val="24"/>
        </w:rPr>
        <w:t>十、附则</w:t>
      </w:r>
      <w:bookmarkEnd w:id="46"/>
    </w:p>
    <w:p w14:paraId="476B2806"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（一）</w:t>
      </w:r>
      <w:r w:rsidRPr="00F34803">
        <w:rPr>
          <w:rFonts w:asciiTheme="minorEastAsia" w:eastAsiaTheme="minorEastAsia" w:hAnsiTheme="minorEastAsia" w:hint="eastAsia"/>
          <w:color w:val="000000" w:themeColor="text1"/>
        </w:rPr>
        <w:t>储蓄存款利息所得的个人所得税管理办法，另行制定。</w:t>
      </w:r>
    </w:p>
    <w:p w14:paraId="74EB4DA3" w14:textId="6DFDD32F"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2"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第五十五条）</w:t>
      </w:r>
    </w:p>
    <w:p w14:paraId="020E4FCB"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（二）</w:t>
      </w:r>
      <w:r w:rsidRPr="00F34803">
        <w:rPr>
          <w:rFonts w:asciiTheme="minorEastAsia" w:eastAsiaTheme="minorEastAsia" w:hAnsiTheme="minorEastAsia" w:hint="eastAsia"/>
          <w:color w:val="000000" w:themeColor="text1"/>
        </w:rPr>
        <w:t>本办法未尽事宜按照税收法律、法规以及相关规定办理。</w:t>
      </w:r>
    </w:p>
    <w:p w14:paraId="7A17CFAC" w14:textId="18D6CDB9"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3"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第五十七条）</w:t>
      </w:r>
    </w:p>
    <w:p w14:paraId="7E86EAC6"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（三）</w:t>
      </w:r>
      <w:r w:rsidRPr="00F34803">
        <w:rPr>
          <w:rFonts w:asciiTheme="minorEastAsia" w:eastAsiaTheme="minorEastAsia" w:hAnsiTheme="minorEastAsia" w:hint="eastAsia"/>
          <w:color w:val="000000" w:themeColor="text1"/>
        </w:rPr>
        <w:t>本办法由国家税务总局负责解释，各省、自治区、直辖市和计划单列市税务局可根据本办法制定具体实施意见。</w:t>
      </w:r>
    </w:p>
    <w:p w14:paraId="18E9B76D" w14:textId="031D4DE5"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4"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第五十八条）</w:t>
      </w:r>
    </w:p>
    <w:p w14:paraId="592E9010" w14:textId="77777777" w:rsidR="00F34803" w:rsidRPr="00F34803" w:rsidRDefault="00F34803" w:rsidP="00F34803">
      <w:pPr>
        <w:pStyle w:val="a7"/>
        <w:shd w:val="clear" w:color="auto" w:fill="FFFFFF"/>
        <w:spacing w:beforeLines="50" w:before="156" w:line="480" w:lineRule="atLeast"/>
        <w:ind w:firstLineChars="200" w:firstLine="482"/>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（四）</w:t>
      </w:r>
      <w:r w:rsidRPr="00F34803">
        <w:rPr>
          <w:rFonts w:asciiTheme="minorEastAsia" w:eastAsiaTheme="minorEastAsia" w:hAnsiTheme="minorEastAsia" w:hint="eastAsia"/>
          <w:color w:val="000000" w:themeColor="text1"/>
        </w:rPr>
        <w:t>本办法自2005年10月1日起执行。</w:t>
      </w:r>
    </w:p>
    <w:p w14:paraId="6A5989E1" w14:textId="5BDE9700"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5"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第五十九条）</w:t>
      </w:r>
    </w:p>
    <w:p w14:paraId="080B754D"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F34803">
        <w:rPr>
          <w:rFonts w:asciiTheme="minorEastAsia" w:eastAsiaTheme="minorEastAsia" w:hAnsiTheme="minorEastAsia" w:hint="eastAsia"/>
          <w:color w:val="000000" w:themeColor="text1"/>
        </w:rPr>
        <w:lastRenderedPageBreak/>
        <w:t>此前规定与本办法不一致的，按本办法执行。</w:t>
      </w:r>
    </w:p>
    <w:p w14:paraId="3A9FC86A" w14:textId="496A1FB1" w:rsidR="00F34803" w:rsidRPr="00F34803" w:rsidRDefault="00F34803" w:rsidP="00F34803">
      <w:pPr>
        <w:pStyle w:val="a7"/>
        <w:shd w:val="clear" w:color="auto" w:fill="FFFFFF"/>
        <w:spacing w:beforeLines="50" w:before="156" w:line="480" w:lineRule="atLeast"/>
        <w:ind w:firstLineChars="200" w:firstLine="482"/>
        <w:jc w:val="right"/>
        <w:rPr>
          <w:rFonts w:asciiTheme="minorEastAsia" w:eastAsiaTheme="minorEastAsia" w:hAnsiTheme="minorEastAsia"/>
          <w:color w:val="000000" w:themeColor="text1"/>
        </w:rPr>
      </w:pPr>
      <w:r w:rsidRPr="00F34803">
        <w:rPr>
          <w:rFonts w:asciiTheme="minorEastAsia" w:eastAsiaTheme="minorEastAsia" w:hAnsiTheme="minorEastAsia" w:hint="eastAsia"/>
          <w:b/>
          <w:color w:val="000000" w:themeColor="text1"/>
        </w:rPr>
        <w:t>（</w:t>
      </w:r>
      <w:hyperlink r:id="rId126" w:history="1">
        <w:r w:rsidR="00897803" w:rsidRPr="00736D3A">
          <w:rPr>
            <w:rStyle w:val="a8"/>
            <w:rFonts w:asciiTheme="minorEastAsia" w:eastAsiaTheme="minorEastAsia" w:hAnsiTheme="minorEastAsia" w:hint="eastAsia"/>
          </w:rPr>
          <w:t>国税发[2005]120号</w:t>
        </w:r>
      </w:hyperlink>
      <w:r w:rsidRPr="00F34803">
        <w:rPr>
          <w:rFonts w:asciiTheme="minorEastAsia" w:eastAsiaTheme="minorEastAsia" w:hAnsiTheme="minorEastAsia" w:hint="eastAsia"/>
          <w:b/>
          <w:color w:val="000000" w:themeColor="text1"/>
        </w:rPr>
        <w:t>第五十六条）</w:t>
      </w:r>
    </w:p>
    <w:p w14:paraId="2D302DB2" w14:textId="77777777" w:rsidR="00F34803" w:rsidRPr="00F34803" w:rsidRDefault="00F34803" w:rsidP="00F34803">
      <w:pPr>
        <w:pStyle w:val="a7"/>
        <w:shd w:val="clear" w:color="auto" w:fill="FFFFFF"/>
        <w:spacing w:beforeLines="50" w:before="156" w:line="480" w:lineRule="atLeast"/>
        <w:ind w:firstLineChars="200" w:firstLine="480"/>
        <w:rPr>
          <w:rFonts w:asciiTheme="minorEastAsia" w:hAnsiTheme="minorEastAsia"/>
          <w:color w:val="000000" w:themeColor="text1"/>
        </w:rPr>
      </w:pPr>
    </w:p>
    <w:sectPr w:rsidR="00F34803" w:rsidRPr="00F34803">
      <w:footerReference w:type="default" r:id="rId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4CDF" w14:textId="77777777" w:rsidR="00551394" w:rsidRDefault="00551394" w:rsidP="00B85160">
      <w:r>
        <w:separator/>
      </w:r>
    </w:p>
  </w:endnote>
  <w:endnote w:type="continuationSeparator" w:id="0">
    <w:p w14:paraId="4D8C64AF" w14:textId="77777777" w:rsidR="00551394" w:rsidRDefault="00551394"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Content>
      <w:sdt>
        <w:sdtPr>
          <w:id w:val="1728636285"/>
          <w:docPartObj>
            <w:docPartGallery w:val="Page Numbers (Top of Page)"/>
            <w:docPartUnique/>
          </w:docPartObj>
        </w:sdtPr>
        <w:sdtContent>
          <w:p w14:paraId="054BEC57" w14:textId="0FBD2764" w:rsidR="00736D3A" w:rsidRDefault="00736D3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736D3A" w:rsidRDefault="00736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FB69" w14:textId="77777777" w:rsidR="00551394" w:rsidRDefault="00551394" w:rsidP="00B85160">
      <w:r>
        <w:separator/>
      </w:r>
    </w:p>
  </w:footnote>
  <w:footnote w:type="continuationSeparator" w:id="0">
    <w:p w14:paraId="6FE8CF7B" w14:textId="77777777" w:rsidR="00551394" w:rsidRDefault="00551394"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C4C1A"/>
    <w:rsid w:val="000D7506"/>
    <w:rsid w:val="000E4C51"/>
    <w:rsid w:val="000E645A"/>
    <w:rsid w:val="000F062A"/>
    <w:rsid w:val="000F6CC6"/>
    <w:rsid w:val="00120255"/>
    <w:rsid w:val="00120ED1"/>
    <w:rsid w:val="00140461"/>
    <w:rsid w:val="00144B52"/>
    <w:rsid w:val="00157D91"/>
    <w:rsid w:val="001940D1"/>
    <w:rsid w:val="001B2EA0"/>
    <w:rsid w:val="001B2EF1"/>
    <w:rsid w:val="0021174C"/>
    <w:rsid w:val="00240760"/>
    <w:rsid w:val="00241BDC"/>
    <w:rsid w:val="00251E90"/>
    <w:rsid w:val="0025698A"/>
    <w:rsid w:val="00264426"/>
    <w:rsid w:val="00271F70"/>
    <w:rsid w:val="00282F42"/>
    <w:rsid w:val="00297A9F"/>
    <w:rsid w:val="002A436C"/>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B159C"/>
    <w:rsid w:val="003C12F2"/>
    <w:rsid w:val="003D296D"/>
    <w:rsid w:val="003E7C78"/>
    <w:rsid w:val="004003A0"/>
    <w:rsid w:val="00425B4A"/>
    <w:rsid w:val="00452F27"/>
    <w:rsid w:val="00485FCE"/>
    <w:rsid w:val="004A2B65"/>
    <w:rsid w:val="004A5CD9"/>
    <w:rsid w:val="004A7018"/>
    <w:rsid w:val="004C7AB4"/>
    <w:rsid w:val="004D6197"/>
    <w:rsid w:val="004D6EBA"/>
    <w:rsid w:val="004D7508"/>
    <w:rsid w:val="004E1BD1"/>
    <w:rsid w:val="004E47C7"/>
    <w:rsid w:val="004F7121"/>
    <w:rsid w:val="00501C52"/>
    <w:rsid w:val="00516098"/>
    <w:rsid w:val="00524800"/>
    <w:rsid w:val="00525567"/>
    <w:rsid w:val="00551394"/>
    <w:rsid w:val="00556F6B"/>
    <w:rsid w:val="0057623D"/>
    <w:rsid w:val="005778EE"/>
    <w:rsid w:val="00581328"/>
    <w:rsid w:val="005869CB"/>
    <w:rsid w:val="00594137"/>
    <w:rsid w:val="005C06D9"/>
    <w:rsid w:val="005C2F6A"/>
    <w:rsid w:val="005C4A0E"/>
    <w:rsid w:val="005C6016"/>
    <w:rsid w:val="005D3073"/>
    <w:rsid w:val="005E3D28"/>
    <w:rsid w:val="005F4A03"/>
    <w:rsid w:val="0060274D"/>
    <w:rsid w:val="0061484D"/>
    <w:rsid w:val="00622BFC"/>
    <w:rsid w:val="00622DBA"/>
    <w:rsid w:val="00624AFD"/>
    <w:rsid w:val="00627C86"/>
    <w:rsid w:val="006643EE"/>
    <w:rsid w:val="006813DF"/>
    <w:rsid w:val="0068347A"/>
    <w:rsid w:val="006B28BF"/>
    <w:rsid w:val="006B6D1C"/>
    <w:rsid w:val="006C2FCC"/>
    <w:rsid w:val="006D02E6"/>
    <w:rsid w:val="006D0589"/>
    <w:rsid w:val="006D4170"/>
    <w:rsid w:val="006D504C"/>
    <w:rsid w:val="006E035B"/>
    <w:rsid w:val="006F3C01"/>
    <w:rsid w:val="007230D8"/>
    <w:rsid w:val="00723C50"/>
    <w:rsid w:val="0073204E"/>
    <w:rsid w:val="00736D3A"/>
    <w:rsid w:val="0074137B"/>
    <w:rsid w:val="007447CC"/>
    <w:rsid w:val="007625FB"/>
    <w:rsid w:val="0077704B"/>
    <w:rsid w:val="00781273"/>
    <w:rsid w:val="0078767E"/>
    <w:rsid w:val="007976C2"/>
    <w:rsid w:val="007A107D"/>
    <w:rsid w:val="007C25D4"/>
    <w:rsid w:val="007C45C0"/>
    <w:rsid w:val="007C4B12"/>
    <w:rsid w:val="007D615A"/>
    <w:rsid w:val="007E6FBA"/>
    <w:rsid w:val="007F7A95"/>
    <w:rsid w:val="00814168"/>
    <w:rsid w:val="00825C83"/>
    <w:rsid w:val="00833E19"/>
    <w:rsid w:val="00897803"/>
    <w:rsid w:val="008A049B"/>
    <w:rsid w:val="008A464A"/>
    <w:rsid w:val="008A7700"/>
    <w:rsid w:val="008B4664"/>
    <w:rsid w:val="008C46A5"/>
    <w:rsid w:val="008D6895"/>
    <w:rsid w:val="008F0A90"/>
    <w:rsid w:val="0090009C"/>
    <w:rsid w:val="00902C9A"/>
    <w:rsid w:val="00907DEF"/>
    <w:rsid w:val="00916DB9"/>
    <w:rsid w:val="0092066B"/>
    <w:rsid w:val="00921B32"/>
    <w:rsid w:val="009251DE"/>
    <w:rsid w:val="00925612"/>
    <w:rsid w:val="00934284"/>
    <w:rsid w:val="009504F8"/>
    <w:rsid w:val="00962194"/>
    <w:rsid w:val="00970DC9"/>
    <w:rsid w:val="0098301E"/>
    <w:rsid w:val="009852A4"/>
    <w:rsid w:val="00986487"/>
    <w:rsid w:val="009977F3"/>
    <w:rsid w:val="009B0AB0"/>
    <w:rsid w:val="009B2C6B"/>
    <w:rsid w:val="009B5351"/>
    <w:rsid w:val="009B791E"/>
    <w:rsid w:val="009B7C07"/>
    <w:rsid w:val="009C098F"/>
    <w:rsid w:val="009D1D79"/>
    <w:rsid w:val="009D5A0E"/>
    <w:rsid w:val="009D72BF"/>
    <w:rsid w:val="009E245F"/>
    <w:rsid w:val="009E4F0B"/>
    <w:rsid w:val="009F146B"/>
    <w:rsid w:val="009F6AC9"/>
    <w:rsid w:val="009F7B50"/>
    <w:rsid w:val="00A026DC"/>
    <w:rsid w:val="00A064A9"/>
    <w:rsid w:val="00A20E1B"/>
    <w:rsid w:val="00A30604"/>
    <w:rsid w:val="00A5066A"/>
    <w:rsid w:val="00A65EBF"/>
    <w:rsid w:val="00A6786B"/>
    <w:rsid w:val="00A73840"/>
    <w:rsid w:val="00A7762B"/>
    <w:rsid w:val="00A85A5E"/>
    <w:rsid w:val="00AC031C"/>
    <w:rsid w:val="00AD678D"/>
    <w:rsid w:val="00AD7224"/>
    <w:rsid w:val="00AE5B52"/>
    <w:rsid w:val="00B04437"/>
    <w:rsid w:val="00B1300D"/>
    <w:rsid w:val="00B30887"/>
    <w:rsid w:val="00B30FC2"/>
    <w:rsid w:val="00B37647"/>
    <w:rsid w:val="00B37B47"/>
    <w:rsid w:val="00B42E11"/>
    <w:rsid w:val="00B54468"/>
    <w:rsid w:val="00B57665"/>
    <w:rsid w:val="00B85160"/>
    <w:rsid w:val="00BB1CEB"/>
    <w:rsid w:val="00BB29AA"/>
    <w:rsid w:val="00BB4920"/>
    <w:rsid w:val="00BB51F5"/>
    <w:rsid w:val="00BB7F4E"/>
    <w:rsid w:val="00BC5741"/>
    <w:rsid w:val="00BD35B5"/>
    <w:rsid w:val="00BE06F4"/>
    <w:rsid w:val="00C044BE"/>
    <w:rsid w:val="00C160FD"/>
    <w:rsid w:val="00C1636A"/>
    <w:rsid w:val="00C17D36"/>
    <w:rsid w:val="00C33E43"/>
    <w:rsid w:val="00C56CE6"/>
    <w:rsid w:val="00C75500"/>
    <w:rsid w:val="00C77946"/>
    <w:rsid w:val="00CA47F4"/>
    <w:rsid w:val="00CD65F8"/>
    <w:rsid w:val="00CF26B3"/>
    <w:rsid w:val="00D063C7"/>
    <w:rsid w:val="00D06CA3"/>
    <w:rsid w:val="00D12AD1"/>
    <w:rsid w:val="00D25F72"/>
    <w:rsid w:val="00D53775"/>
    <w:rsid w:val="00D84AE9"/>
    <w:rsid w:val="00D91FD9"/>
    <w:rsid w:val="00DA31E8"/>
    <w:rsid w:val="00DB04C5"/>
    <w:rsid w:val="00DB7F97"/>
    <w:rsid w:val="00DF5AB0"/>
    <w:rsid w:val="00E01A3B"/>
    <w:rsid w:val="00E12BBA"/>
    <w:rsid w:val="00E2137F"/>
    <w:rsid w:val="00E218F7"/>
    <w:rsid w:val="00E256A3"/>
    <w:rsid w:val="00E31C3B"/>
    <w:rsid w:val="00E3659F"/>
    <w:rsid w:val="00E365EE"/>
    <w:rsid w:val="00E4455A"/>
    <w:rsid w:val="00E54F9B"/>
    <w:rsid w:val="00E6345F"/>
    <w:rsid w:val="00E72303"/>
    <w:rsid w:val="00E958C4"/>
    <w:rsid w:val="00EC4751"/>
    <w:rsid w:val="00ED4C87"/>
    <w:rsid w:val="00EF2C21"/>
    <w:rsid w:val="00F061E2"/>
    <w:rsid w:val="00F262D3"/>
    <w:rsid w:val="00F34803"/>
    <w:rsid w:val="00F57C18"/>
    <w:rsid w:val="00F6394A"/>
    <w:rsid w:val="00F725CB"/>
    <w:rsid w:val="00F803E7"/>
    <w:rsid w:val="00F8713B"/>
    <w:rsid w:val="00FE6671"/>
    <w:rsid w:val="00FF4550"/>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paragraph" w:styleId="ae">
    <w:name w:val="Balloon Text"/>
    <w:basedOn w:val="a"/>
    <w:link w:val="af"/>
    <w:uiPriority w:val="99"/>
    <w:semiHidden/>
    <w:unhideWhenUsed/>
    <w:rsid w:val="007625FB"/>
    <w:rPr>
      <w:sz w:val="18"/>
      <w:szCs w:val="18"/>
    </w:rPr>
  </w:style>
  <w:style w:type="character" w:customStyle="1" w:styleId="af">
    <w:name w:val="批注框文本 字符"/>
    <w:basedOn w:val="a0"/>
    <w:link w:val="ae"/>
    <w:uiPriority w:val="99"/>
    <w:semiHidden/>
    <w:rsid w:val="007625FB"/>
    <w:rPr>
      <w:sz w:val="18"/>
      <w:szCs w:val="18"/>
    </w:rPr>
  </w:style>
  <w:style w:type="character" w:styleId="af0">
    <w:name w:val="Unresolved Mention"/>
    <w:basedOn w:val="a0"/>
    <w:uiPriority w:val="99"/>
    <w:semiHidden/>
    <w:unhideWhenUsed/>
    <w:rsid w:val="0073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3260.html" TargetMode="External"/><Relationship Id="rId117" Type="http://schemas.openxmlformats.org/officeDocument/2006/relationships/hyperlink" Target="http://ssfb86.com/index/News/detail/newsid/3260.html" TargetMode="External"/><Relationship Id="rId21" Type="http://schemas.openxmlformats.org/officeDocument/2006/relationships/hyperlink" Target="http://ssfb86.com/index/News/detail/newsid/3260.html" TargetMode="External"/><Relationship Id="rId42" Type="http://schemas.openxmlformats.org/officeDocument/2006/relationships/hyperlink" Target="http://ssfb86.com/index/News/detail/newsid/3260.html" TargetMode="External"/><Relationship Id="rId47" Type="http://schemas.openxmlformats.org/officeDocument/2006/relationships/hyperlink" Target="http://ssfb86.com/index/News/detail/newsid/3260.html" TargetMode="External"/><Relationship Id="rId63" Type="http://schemas.openxmlformats.org/officeDocument/2006/relationships/hyperlink" Target="http://ssfb86.com/index/News/detail/newsid/3260.html" TargetMode="External"/><Relationship Id="rId68" Type="http://schemas.openxmlformats.org/officeDocument/2006/relationships/hyperlink" Target="http://ssfb86.com/index/News/detail/newsid/3260.html" TargetMode="External"/><Relationship Id="rId84" Type="http://schemas.openxmlformats.org/officeDocument/2006/relationships/hyperlink" Target="http://ssfb86.com/index/News/detail/newsid/3260.html" TargetMode="External"/><Relationship Id="rId89" Type="http://schemas.openxmlformats.org/officeDocument/2006/relationships/hyperlink" Target="http://ssfb86.com/index/News/detail/newsid/3260.html" TargetMode="External"/><Relationship Id="rId112" Type="http://schemas.openxmlformats.org/officeDocument/2006/relationships/hyperlink" Target="http://ssfb86.com/index/News/detail/newsid/3260.html" TargetMode="External"/><Relationship Id="rId16" Type="http://schemas.openxmlformats.org/officeDocument/2006/relationships/hyperlink" Target="http://ssfb86.com/index/News/detail/newsid/3260.html" TargetMode="External"/><Relationship Id="rId107" Type="http://schemas.openxmlformats.org/officeDocument/2006/relationships/hyperlink" Target="http://ssfb86.com/index/News/detail/newsid/3260.html" TargetMode="External"/><Relationship Id="rId11" Type="http://schemas.openxmlformats.org/officeDocument/2006/relationships/hyperlink" Target="http://ssfb86.com/index/News/detail/newsid/3260.html" TargetMode="External"/><Relationship Id="rId32" Type="http://schemas.openxmlformats.org/officeDocument/2006/relationships/hyperlink" Target="http://ssfb86.com/index/News/detail/newsid/3260.html" TargetMode="External"/><Relationship Id="rId37" Type="http://schemas.openxmlformats.org/officeDocument/2006/relationships/hyperlink" Target="http://ssfb86.com/index/News/detail/newsid/3260.html" TargetMode="External"/><Relationship Id="rId53" Type="http://schemas.openxmlformats.org/officeDocument/2006/relationships/hyperlink" Target="http://ssfb86.com/index/News/detail/newsid/3260.html" TargetMode="External"/><Relationship Id="rId58" Type="http://schemas.openxmlformats.org/officeDocument/2006/relationships/hyperlink" Target="http://ssfb86.com/index/News/detail/newsid/3260.html" TargetMode="External"/><Relationship Id="rId74" Type="http://schemas.openxmlformats.org/officeDocument/2006/relationships/hyperlink" Target="http://ssfb86.com/index/News/detail/newsid/3260.html" TargetMode="External"/><Relationship Id="rId79" Type="http://schemas.openxmlformats.org/officeDocument/2006/relationships/hyperlink" Target="http://ssfb86.com/index/News/detail/newsid/3260.html" TargetMode="External"/><Relationship Id="rId102" Type="http://schemas.openxmlformats.org/officeDocument/2006/relationships/hyperlink" Target="http://ssfb86.com/index/News/detail/newsid/3260.html" TargetMode="External"/><Relationship Id="rId123" Type="http://schemas.openxmlformats.org/officeDocument/2006/relationships/hyperlink" Target="http://ssfb86.com/index/News/detail/newsid/3260.html"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sfb86.com/index/News/detail/newsid/3260.html" TargetMode="External"/><Relationship Id="rId95" Type="http://schemas.openxmlformats.org/officeDocument/2006/relationships/hyperlink" Target="http://ssfb86.com/index/News/detail/newsid/3260.html" TargetMode="External"/><Relationship Id="rId19" Type="http://schemas.openxmlformats.org/officeDocument/2006/relationships/hyperlink" Target="http://ssfb86.com/index/News/detail/newsid/3260.html" TargetMode="External"/><Relationship Id="rId14" Type="http://schemas.openxmlformats.org/officeDocument/2006/relationships/hyperlink" Target="http://ssfb86.com/index/News/detail/newsid/3260.html" TargetMode="External"/><Relationship Id="rId22" Type="http://schemas.openxmlformats.org/officeDocument/2006/relationships/hyperlink" Target="http://ssfb86.com/index/News/detail/newsid/3260.html" TargetMode="External"/><Relationship Id="rId27" Type="http://schemas.openxmlformats.org/officeDocument/2006/relationships/hyperlink" Target="http://ssfb86.com/index/News/detail/newsid/310.html" TargetMode="External"/><Relationship Id="rId30" Type="http://schemas.openxmlformats.org/officeDocument/2006/relationships/hyperlink" Target="http://ssfb86.com/index/News/detail/newsid/3260.html" TargetMode="External"/><Relationship Id="rId35" Type="http://schemas.openxmlformats.org/officeDocument/2006/relationships/hyperlink" Target="http://ssfb86.com/index/News/detail/newsid/3260.html" TargetMode="External"/><Relationship Id="rId43" Type="http://schemas.openxmlformats.org/officeDocument/2006/relationships/hyperlink" Target="http://ssfb86.com/index/News/detail/newsid/3260.html" TargetMode="External"/><Relationship Id="rId48" Type="http://schemas.openxmlformats.org/officeDocument/2006/relationships/hyperlink" Target="http://ssfb86.com/index/News/detail/newsid/3260.html" TargetMode="External"/><Relationship Id="rId56" Type="http://schemas.openxmlformats.org/officeDocument/2006/relationships/hyperlink" Target="http://ssfb86.com/index/News/detail/newsid/3260.html" TargetMode="External"/><Relationship Id="rId64" Type="http://schemas.openxmlformats.org/officeDocument/2006/relationships/hyperlink" Target="http://ssfb86.com/index/News/detail/newsid/3260.html" TargetMode="External"/><Relationship Id="rId69" Type="http://schemas.openxmlformats.org/officeDocument/2006/relationships/hyperlink" Target="http://ssfb86.com/index/News/detail/newsid/3260.html" TargetMode="External"/><Relationship Id="rId77" Type="http://schemas.openxmlformats.org/officeDocument/2006/relationships/hyperlink" Target="http://ssfb86.com/index/News/detail/newsid/3260.html" TargetMode="External"/><Relationship Id="rId100" Type="http://schemas.openxmlformats.org/officeDocument/2006/relationships/hyperlink" Target="http://ssfb86.com/index/News/detail/newsid/3260.html" TargetMode="External"/><Relationship Id="rId105" Type="http://schemas.openxmlformats.org/officeDocument/2006/relationships/hyperlink" Target="http://ssfb86.com/index/News/detail/newsid/3260.html" TargetMode="External"/><Relationship Id="rId113" Type="http://schemas.openxmlformats.org/officeDocument/2006/relationships/hyperlink" Target="http://ssfb86.com/index/News/detail/newsid/3260.html" TargetMode="External"/><Relationship Id="rId118" Type="http://schemas.openxmlformats.org/officeDocument/2006/relationships/hyperlink" Target="http://ssfb86.com/index/News/detail/newsid/3260.html" TargetMode="External"/><Relationship Id="rId126" Type="http://schemas.openxmlformats.org/officeDocument/2006/relationships/hyperlink" Target="http://ssfb86.com/index/News/detail/newsid/3260.html" TargetMode="External"/><Relationship Id="rId8" Type="http://schemas.openxmlformats.org/officeDocument/2006/relationships/hyperlink" Target="http://ssfb86.com/index/News/detail/newsid/310.html" TargetMode="External"/><Relationship Id="rId51" Type="http://schemas.openxmlformats.org/officeDocument/2006/relationships/hyperlink" Target="http://ssfb86.com/index/News/detail/newsid/3260.html" TargetMode="External"/><Relationship Id="rId72" Type="http://schemas.openxmlformats.org/officeDocument/2006/relationships/hyperlink" Target="http://ssfb86.com/index/News/detail/newsid/3260.html" TargetMode="External"/><Relationship Id="rId80" Type="http://schemas.openxmlformats.org/officeDocument/2006/relationships/hyperlink" Target="http://ssfb86.com/index/News/detail/newsid/3260.html" TargetMode="External"/><Relationship Id="rId85" Type="http://schemas.openxmlformats.org/officeDocument/2006/relationships/hyperlink" Target="http://ssfb86.com/index/News/detail/newsid/3260.html" TargetMode="External"/><Relationship Id="rId93" Type="http://schemas.openxmlformats.org/officeDocument/2006/relationships/hyperlink" Target="http://ssfb86.com/index/News/detail/newsid/3260.html" TargetMode="External"/><Relationship Id="rId98" Type="http://schemas.openxmlformats.org/officeDocument/2006/relationships/hyperlink" Target="http://ssfb86.com/index/News/detail/newsid/3260.html" TargetMode="External"/><Relationship Id="rId121" Type="http://schemas.openxmlformats.org/officeDocument/2006/relationships/hyperlink" Target="http://ssfb86.com/index/News/detail/newsid/3260.html" TargetMode="External"/><Relationship Id="rId3" Type="http://schemas.openxmlformats.org/officeDocument/2006/relationships/settings" Target="settings.xml"/><Relationship Id="rId12" Type="http://schemas.openxmlformats.org/officeDocument/2006/relationships/hyperlink" Target="http://ssfb86.com/index/News/detail/newsid/3260.html" TargetMode="External"/><Relationship Id="rId17" Type="http://schemas.openxmlformats.org/officeDocument/2006/relationships/hyperlink" Target="http://ssfb86.com/index/News/detail/newsid/3260.html" TargetMode="External"/><Relationship Id="rId25" Type="http://schemas.openxmlformats.org/officeDocument/2006/relationships/hyperlink" Target="http://ssfb86.com/index/News/detail/newsid/3260.html" TargetMode="External"/><Relationship Id="rId33" Type="http://schemas.openxmlformats.org/officeDocument/2006/relationships/hyperlink" Target="http://ssfb86.com/index/News/detail/newsid/3260.html" TargetMode="External"/><Relationship Id="rId38" Type="http://schemas.openxmlformats.org/officeDocument/2006/relationships/hyperlink" Target="http://ssfb86.com/index/News/detail/newsid/3260.html" TargetMode="External"/><Relationship Id="rId46" Type="http://schemas.openxmlformats.org/officeDocument/2006/relationships/hyperlink" Target="http://ssfb86.com/index/News/detail/newsid/3260.html" TargetMode="External"/><Relationship Id="rId59" Type="http://schemas.openxmlformats.org/officeDocument/2006/relationships/hyperlink" Target="http://ssfb86.com/index/News/detail/newsid/3260.html" TargetMode="External"/><Relationship Id="rId67" Type="http://schemas.openxmlformats.org/officeDocument/2006/relationships/hyperlink" Target="http://ssfb86.com/index/News/detail/newsid/3260.html" TargetMode="External"/><Relationship Id="rId103" Type="http://schemas.openxmlformats.org/officeDocument/2006/relationships/hyperlink" Target="http://ssfb86.com/index/News/detail/newsid/3260.html" TargetMode="External"/><Relationship Id="rId108" Type="http://schemas.openxmlformats.org/officeDocument/2006/relationships/hyperlink" Target="http://ssfb86.com/index/News/detail/newsid/3260.html" TargetMode="External"/><Relationship Id="rId116" Type="http://schemas.openxmlformats.org/officeDocument/2006/relationships/hyperlink" Target="http://ssfb86.com/index/News/detail/newsid/3260.html" TargetMode="External"/><Relationship Id="rId124" Type="http://schemas.openxmlformats.org/officeDocument/2006/relationships/hyperlink" Target="http://ssfb86.com/index/News/detail/newsid/3260.html" TargetMode="External"/><Relationship Id="rId129" Type="http://schemas.openxmlformats.org/officeDocument/2006/relationships/theme" Target="theme/theme1.xml"/><Relationship Id="rId20" Type="http://schemas.openxmlformats.org/officeDocument/2006/relationships/hyperlink" Target="http://ssfb86.com/index/News/detail/newsid/3260.html" TargetMode="External"/><Relationship Id="rId41" Type="http://schemas.openxmlformats.org/officeDocument/2006/relationships/hyperlink" Target="http://ssfb86.com/index/News/detail/newsid/310.html" TargetMode="External"/><Relationship Id="rId54" Type="http://schemas.openxmlformats.org/officeDocument/2006/relationships/hyperlink" Target="http://ssfb86.com/index/News/detail/newsid/3260.html" TargetMode="External"/><Relationship Id="rId62" Type="http://schemas.openxmlformats.org/officeDocument/2006/relationships/hyperlink" Target="http://ssfb86.com/index/News/detail/newsid/3260.html" TargetMode="External"/><Relationship Id="rId70" Type="http://schemas.openxmlformats.org/officeDocument/2006/relationships/hyperlink" Target="http://ssfb86.com/index/News/detail/newsid/3260.html" TargetMode="External"/><Relationship Id="rId75" Type="http://schemas.openxmlformats.org/officeDocument/2006/relationships/hyperlink" Target="http://ssfb86.com/index/News/detail/newsid/3260.html" TargetMode="External"/><Relationship Id="rId83" Type="http://schemas.openxmlformats.org/officeDocument/2006/relationships/hyperlink" Target="http://ssfb86.com/index/News/detail/newsid/3260.html" TargetMode="External"/><Relationship Id="rId88" Type="http://schemas.openxmlformats.org/officeDocument/2006/relationships/hyperlink" Target="http://ssfb86.com/index/News/detail/newsid/3260.html" TargetMode="External"/><Relationship Id="rId91" Type="http://schemas.openxmlformats.org/officeDocument/2006/relationships/hyperlink" Target="http://ssfb86.com/index/News/detail/newsid/3260.html" TargetMode="External"/><Relationship Id="rId96" Type="http://schemas.openxmlformats.org/officeDocument/2006/relationships/hyperlink" Target="http://ssfb86.com/index/News/detail/newsid/3260.html" TargetMode="External"/><Relationship Id="rId111" Type="http://schemas.openxmlformats.org/officeDocument/2006/relationships/hyperlink" Target="http://ssfb86.com/index/News/detail/newsid/326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fb86.com/index/News/detail/newsid/3260.html" TargetMode="External"/><Relationship Id="rId23" Type="http://schemas.openxmlformats.org/officeDocument/2006/relationships/hyperlink" Target="http://ssfb86.com/index/News/detail/newsid/3260.html" TargetMode="External"/><Relationship Id="rId28" Type="http://schemas.openxmlformats.org/officeDocument/2006/relationships/hyperlink" Target="http://ssfb86.com/index/News/detail/newsid/3260.html" TargetMode="External"/><Relationship Id="rId36" Type="http://schemas.openxmlformats.org/officeDocument/2006/relationships/hyperlink" Target="http://ssfb86.com/index/News/detail/newsid/3260.html" TargetMode="External"/><Relationship Id="rId49" Type="http://schemas.openxmlformats.org/officeDocument/2006/relationships/hyperlink" Target="http://ssfb86.com/index/News/detail/newsid/3260.html" TargetMode="External"/><Relationship Id="rId57" Type="http://schemas.openxmlformats.org/officeDocument/2006/relationships/hyperlink" Target="http://ssfb86.com/index/News/detail/newsid/3260.html" TargetMode="External"/><Relationship Id="rId106" Type="http://schemas.openxmlformats.org/officeDocument/2006/relationships/hyperlink" Target="http://ssfb86.com/index/News/detail/newsid/3260.html" TargetMode="External"/><Relationship Id="rId114" Type="http://schemas.openxmlformats.org/officeDocument/2006/relationships/hyperlink" Target="http://ssfb86.com/index/News/detail/newsid/3382.html" TargetMode="External"/><Relationship Id="rId119" Type="http://schemas.openxmlformats.org/officeDocument/2006/relationships/hyperlink" Target="http://ssfb86.com/index/News/detail/newsid/3260.html" TargetMode="External"/><Relationship Id="rId127" Type="http://schemas.openxmlformats.org/officeDocument/2006/relationships/footer" Target="footer1.xml"/><Relationship Id="rId10" Type="http://schemas.openxmlformats.org/officeDocument/2006/relationships/hyperlink" Target="http://ssfb86.com/index/News/detail/newsid/3260.html" TargetMode="External"/><Relationship Id="rId31" Type="http://schemas.openxmlformats.org/officeDocument/2006/relationships/hyperlink" Target="http://ssfb86.com/index/News/detail/newsid/3260.html" TargetMode="External"/><Relationship Id="rId44" Type="http://schemas.openxmlformats.org/officeDocument/2006/relationships/hyperlink" Target="http://ssfb86.com/index/News/detail/newsid/3260.html" TargetMode="External"/><Relationship Id="rId52" Type="http://schemas.openxmlformats.org/officeDocument/2006/relationships/hyperlink" Target="http://ssfb86.com/index/News/detail/newsid/3260.html" TargetMode="External"/><Relationship Id="rId60" Type="http://schemas.openxmlformats.org/officeDocument/2006/relationships/hyperlink" Target="http://ssfb86.com/index/News/detail/newsid/3260.html" TargetMode="External"/><Relationship Id="rId65" Type="http://schemas.openxmlformats.org/officeDocument/2006/relationships/hyperlink" Target="http://ssfb86.com/index/News/detail/newsid/3260.html" TargetMode="External"/><Relationship Id="rId73" Type="http://schemas.openxmlformats.org/officeDocument/2006/relationships/hyperlink" Target="http://ssfb86.com/index/News/detail/newsid/3260.html" TargetMode="External"/><Relationship Id="rId78" Type="http://schemas.openxmlformats.org/officeDocument/2006/relationships/hyperlink" Target="http://ssfb86.com/index/News/detail/newsid/3260.html" TargetMode="External"/><Relationship Id="rId81" Type="http://schemas.openxmlformats.org/officeDocument/2006/relationships/hyperlink" Target="http://ssfb86.com/index/News/detail/newsid/3260.html" TargetMode="External"/><Relationship Id="rId86" Type="http://schemas.openxmlformats.org/officeDocument/2006/relationships/hyperlink" Target="http://ssfb86.com/index/News/detail/newsid/3260.html" TargetMode="External"/><Relationship Id="rId94" Type="http://schemas.openxmlformats.org/officeDocument/2006/relationships/hyperlink" Target="http://ssfb86.com/index/News/detail/newsid/3260.html" TargetMode="External"/><Relationship Id="rId99" Type="http://schemas.openxmlformats.org/officeDocument/2006/relationships/hyperlink" Target="http://ssfb86.com/index/News/detail/newsid/3260.html" TargetMode="External"/><Relationship Id="rId101" Type="http://schemas.openxmlformats.org/officeDocument/2006/relationships/hyperlink" Target="http://ssfb86.com/index/News/detail/newsid/1036.html" TargetMode="External"/><Relationship Id="rId122" Type="http://schemas.openxmlformats.org/officeDocument/2006/relationships/hyperlink" Target="http://ssfb86.com/index/News/detail/newsid/3260.html" TargetMode="External"/><Relationship Id="rId4" Type="http://schemas.openxmlformats.org/officeDocument/2006/relationships/webSettings" Target="webSettings.xml"/><Relationship Id="rId9" Type="http://schemas.openxmlformats.org/officeDocument/2006/relationships/hyperlink" Target="http://ssfb86.com/index/News/detail/newsid/1036.html" TargetMode="External"/><Relationship Id="rId13" Type="http://schemas.openxmlformats.org/officeDocument/2006/relationships/hyperlink" Target="http://ssfb86.com/index/News/detail/newsid/3260.html" TargetMode="External"/><Relationship Id="rId18" Type="http://schemas.openxmlformats.org/officeDocument/2006/relationships/hyperlink" Target="http://ssfb86.com/index/News/detail/newsid/3260.html" TargetMode="External"/><Relationship Id="rId39" Type="http://schemas.openxmlformats.org/officeDocument/2006/relationships/hyperlink" Target="http://ssfb86.com/index/News/detail/newsid/3260.html" TargetMode="External"/><Relationship Id="rId109" Type="http://schemas.openxmlformats.org/officeDocument/2006/relationships/hyperlink" Target="http://ssfb86.com/index/News/detail/newsid/3260.html" TargetMode="External"/><Relationship Id="rId34" Type="http://schemas.openxmlformats.org/officeDocument/2006/relationships/hyperlink" Target="http://ssfb86.com/index/News/detail/newsid/3260.html" TargetMode="External"/><Relationship Id="rId50" Type="http://schemas.openxmlformats.org/officeDocument/2006/relationships/hyperlink" Target="http://ssfb86.com/index/News/detail/newsid/3260.html" TargetMode="External"/><Relationship Id="rId55" Type="http://schemas.openxmlformats.org/officeDocument/2006/relationships/hyperlink" Target="http://ssfb86.com/index/News/detail/newsid/3260.html" TargetMode="External"/><Relationship Id="rId76" Type="http://schemas.openxmlformats.org/officeDocument/2006/relationships/hyperlink" Target="http://ssfb86.com/index/News/detail/newsid/3260.html" TargetMode="External"/><Relationship Id="rId97" Type="http://schemas.openxmlformats.org/officeDocument/2006/relationships/hyperlink" Target="http://ssfb86.com/index/News/detail/newsid/3260.html" TargetMode="External"/><Relationship Id="rId104" Type="http://schemas.openxmlformats.org/officeDocument/2006/relationships/hyperlink" Target="http://ssfb86.com/index/News/detail/newsid/3260.html" TargetMode="External"/><Relationship Id="rId120" Type="http://schemas.openxmlformats.org/officeDocument/2006/relationships/hyperlink" Target="http://ssfb86.com/index/News/detail/newsid/3260.html" TargetMode="External"/><Relationship Id="rId125" Type="http://schemas.openxmlformats.org/officeDocument/2006/relationships/hyperlink" Target="http://ssfb86.com/index/News/detail/newsid/3260.html" TargetMode="External"/><Relationship Id="rId7" Type="http://schemas.openxmlformats.org/officeDocument/2006/relationships/hyperlink" Target="http://ssfb86.com/index/News/detail/newsid/310.html" TargetMode="External"/><Relationship Id="rId71" Type="http://schemas.openxmlformats.org/officeDocument/2006/relationships/hyperlink" Target="http://ssfb86.com/index/News/detail/newsid/3260.html" TargetMode="External"/><Relationship Id="rId92" Type="http://schemas.openxmlformats.org/officeDocument/2006/relationships/hyperlink" Target="http://ssfb86.com/index/News/detail/newsid/3260.html" TargetMode="External"/><Relationship Id="rId2" Type="http://schemas.openxmlformats.org/officeDocument/2006/relationships/styles" Target="styles.xml"/><Relationship Id="rId29" Type="http://schemas.openxmlformats.org/officeDocument/2006/relationships/hyperlink" Target="http://ssfb86.com/index/News/detail/newsid/3260.html" TargetMode="External"/><Relationship Id="rId24" Type="http://schemas.openxmlformats.org/officeDocument/2006/relationships/hyperlink" Target="http://ssfb86.com/index/News/detail/newsid/3260.html" TargetMode="External"/><Relationship Id="rId40" Type="http://schemas.openxmlformats.org/officeDocument/2006/relationships/hyperlink" Target="http://ssfb86.com/index/News/detail/newsid/3260.html" TargetMode="External"/><Relationship Id="rId45" Type="http://schemas.openxmlformats.org/officeDocument/2006/relationships/hyperlink" Target="http://ssfb86.com/index/News/detail/newsid/3260.html" TargetMode="External"/><Relationship Id="rId66" Type="http://schemas.openxmlformats.org/officeDocument/2006/relationships/hyperlink" Target="http://ssfb86.com/index/News/detail/newsid/3260.html" TargetMode="External"/><Relationship Id="rId87" Type="http://schemas.openxmlformats.org/officeDocument/2006/relationships/hyperlink" Target="http://ssfb86.com/index/News/detail/newsid/3260.html" TargetMode="External"/><Relationship Id="rId110" Type="http://schemas.openxmlformats.org/officeDocument/2006/relationships/hyperlink" Target="http://ssfb86.com/index/News/detail/newsid/3260.html" TargetMode="External"/><Relationship Id="rId115" Type="http://schemas.openxmlformats.org/officeDocument/2006/relationships/hyperlink" Target="http://ssfb86.com/index/News/detail/newsid/3260.html" TargetMode="External"/><Relationship Id="rId61" Type="http://schemas.openxmlformats.org/officeDocument/2006/relationships/hyperlink" Target="http://ssfb86.com/index/News/detail/newsid/3260.html" TargetMode="External"/><Relationship Id="rId82" Type="http://schemas.openxmlformats.org/officeDocument/2006/relationships/hyperlink" Target="http://ssfb86.com/index/News/detail/newsid/32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2020-07-15T09:52:00Z</dcterms:created>
  <dcterms:modified xsi:type="dcterms:W3CDTF">2020-10-19T06:54:00Z</dcterms:modified>
</cp:coreProperties>
</file>