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6B47" w14:textId="77777777" w:rsidR="00723C50" w:rsidRPr="00303E3C" w:rsidRDefault="00723C50" w:rsidP="00303E3C">
      <w:pPr>
        <w:pStyle w:val="a7"/>
        <w:shd w:val="clear" w:color="auto" w:fill="FFFFFF"/>
        <w:spacing w:beforeLines="50" w:before="156" w:line="480" w:lineRule="atLeast"/>
        <w:ind w:firstLineChars="200" w:firstLine="480"/>
        <w:rPr>
          <w:rFonts w:asciiTheme="minorEastAsia" w:eastAsiaTheme="minorEastAsia" w:hAnsiTheme="minorEastAsia" w:hint="eastAsia"/>
          <w:color w:val="333333"/>
        </w:rPr>
      </w:pPr>
    </w:p>
    <w:p w14:paraId="668D95C9" w14:textId="5BCD164A" w:rsidR="007625FB" w:rsidRDefault="0060274D" w:rsidP="00AC0C76">
      <w:pPr>
        <w:jc w:val="center"/>
        <w:rPr>
          <w:b/>
          <w:bCs/>
          <w:sz w:val="24"/>
          <w:szCs w:val="24"/>
        </w:rPr>
      </w:pPr>
      <w:r>
        <w:rPr>
          <w:rFonts w:asciiTheme="minorEastAsia" w:hAnsiTheme="minorEastAsia"/>
          <w:sz w:val="44"/>
          <w:szCs w:val="44"/>
        </w:rPr>
        <w:t>6</w:t>
      </w:r>
      <w:r w:rsidR="00157D91">
        <w:rPr>
          <w:rFonts w:asciiTheme="minorEastAsia" w:hAnsiTheme="minorEastAsia"/>
          <w:sz w:val="44"/>
          <w:szCs w:val="44"/>
        </w:rPr>
        <w:t>.</w:t>
      </w:r>
      <w:r w:rsidR="0090009C">
        <w:rPr>
          <w:rFonts w:asciiTheme="minorEastAsia" w:hAnsiTheme="minorEastAsia"/>
          <w:sz w:val="44"/>
          <w:szCs w:val="44"/>
        </w:rPr>
        <w:t>2</w:t>
      </w:r>
      <w:r w:rsidR="00C044BE">
        <w:rPr>
          <w:rFonts w:asciiTheme="minorEastAsia" w:hAnsiTheme="minorEastAsia"/>
          <w:sz w:val="44"/>
          <w:szCs w:val="44"/>
        </w:rPr>
        <w:t>.</w:t>
      </w:r>
      <w:r w:rsidR="00AC0C76">
        <w:rPr>
          <w:rFonts w:asciiTheme="minorEastAsia" w:hAnsiTheme="minorEastAsia"/>
          <w:sz w:val="44"/>
          <w:szCs w:val="44"/>
        </w:rPr>
        <w:t>2</w:t>
      </w:r>
      <w:r w:rsidR="00B85160" w:rsidRPr="00B85160">
        <w:rPr>
          <w:rFonts w:asciiTheme="minorEastAsia" w:hAnsiTheme="minorEastAsia"/>
          <w:sz w:val="44"/>
          <w:szCs w:val="44"/>
        </w:rPr>
        <w:t xml:space="preserve">  </w:t>
      </w:r>
      <w:r w:rsidR="00AC0C76" w:rsidRPr="00AC0C76">
        <w:rPr>
          <w:rFonts w:asciiTheme="minorEastAsia" w:hAnsiTheme="minorEastAsia" w:hint="eastAsia"/>
          <w:sz w:val="44"/>
          <w:szCs w:val="44"/>
        </w:rPr>
        <w:t>加强高收入者管理</w:t>
      </w:r>
    </w:p>
    <w:p w14:paraId="2D302DB2" w14:textId="185A3134" w:rsidR="00F34803" w:rsidRPr="0070340E" w:rsidRDefault="00F34803" w:rsidP="0070340E">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p>
    <w:p w14:paraId="4D5EFF4F"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0" w:name="_Toc13327874"/>
      <w:r w:rsidRPr="0070340E">
        <w:rPr>
          <w:rFonts w:asciiTheme="minorEastAsia" w:hAnsiTheme="minorEastAsia" w:hint="eastAsia"/>
          <w:color w:val="000000" w:themeColor="text1"/>
          <w:sz w:val="24"/>
          <w:szCs w:val="24"/>
        </w:rPr>
        <w:t>一、认真做好高收入者应税收入的管理和监控</w:t>
      </w:r>
      <w:bookmarkEnd w:id="0"/>
    </w:p>
    <w:p w14:paraId="50755EA0"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各地税务机关要继续深入贯彻落实国家税务总局关于加强个人所得税管理的工作思路，夯实高收入者个人所得税征管基础。</w:t>
      </w:r>
    </w:p>
    <w:p w14:paraId="41BC13AA"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1" w:name="_Toc13327875"/>
      <w:r w:rsidRPr="0070340E">
        <w:rPr>
          <w:rFonts w:asciiTheme="minorEastAsia" w:eastAsiaTheme="minorEastAsia" w:hAnsiTheme="minorEastAsia" w:hint="eastAsia"/>
          <w:color w:val="000000" w:themeColor="text1"/>
          <w:sz w:val="24"/>
          <w:szCs w:val="24"/>
        </w:rPr>
        <w:t>（一）摸清本地区高收入者的税源分布状况</w:t>
      </w:r>
      <w:bookmarkEnd w:id="1"/>
    </w:p>
    <w:p w14:paraId="674B3E0B"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各地要认真开展个人所得税税源摸底工作，结合本地区经济总体水平、产业发展趋势和居民收入来源特点，重点监控高收入者相对集中的行业和高收入者相对集中的人群，摸清高收入行业的收入分配规律，掌握高收入人群的主要所得来源，建立高收入者所得来源信息库，完善税收征管机制，有针对性地加强个人所得税征收管理工作。</w:t>
      </w:r>
    </w:p>
    <w:p w14:paraId="4C980B4E" w14:textId="3FC81551"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 w:name="_Hlk94768"/>
      <w:r w:rsidRPr="0070340E">
        <w:rPr>
          <w:rFonts w:asciiTheme="minorEastAsia" w:hAnsiTheme="minorEastAsia" w:hint="eastAsia"/>
          <w:color w:val="000000" w:themeColor="text1"/>
          <w:sz w:val="24"/>
          <w:szCs w:val="24"/>
          <w:shd w:val="clear" w:color="auto" w:fill="FFFFFF"/>
        </w:rPr>
        <w:t>（</w:t>
      </w:r>
      <w:bookmarkStart w:id="3" w:name="_Hlk54029527"/>
      <w:r w:rsidR="00A47959">
        <w:rPr>
          <w:rFonts w:asciiTheme="minorEastAsia" w:hAnsiTheme="minorEastAsia"/>
          <w:sz w:val="24"/>
          <w:szCs w:val="24"/>
          <w:shd w:val="clear" w:color="auto" w:fill="FFFFFF"/>
        </w:rPr>
        <w:fldChar w:fldCharType="begin"/>
      </w:r>
      <w:r w:rsidR="00A47959">
        <w:rPr>
          <w:rFonts w:asciiTheme="minorEastAsia" w:hAnsiTheme="minorEastAsia"/>
          <w:sz w:val="24"/>
          <w:szCs w:val="24"/>
          <w:shd w:val="clear" w:color="auto" w:fill="FFFFFF"/>
        </w:rPr>
        <w:instrText xml:space="preserve"> HYPERLINK "http://ssfb86.com/index/News/detail/newsid/1933.html" </w:instrText>
      </w:r>
      <w:r w:rsidR="00A47959">
        <w:rPr>
          <w:rFonts w:asciiTheme="minorEastAsia" w:hAnsiTheme="minorEastAsia"/>
          <w:sz w:val="24"/>
          <w:szCs w:val="24"/>
          <w:shd w:val="clear" w:color="auto" w:fill="FFFFFF"/>
        </w:rPr>
      </w:r>
      <w:r w:rsidR="00A47959">
        <w:rPr>
          <w:rFonts w:asciiTheme="minorEastAsia" w:hAnsiTheme="minorEastAsia"/>
          <w:sz w:val="24"/>
          <w:szCs w:val="24"/>
          <w:shd w:val="clear" w:color="auto" w:fill="FFFFFF"/>
        </w:rPr>
        <w:fldChar w:fldCharType="separate"/>
      </w:r>
      <w:r w:rsidRPr="00A47959">
        <w:rPr>
          <w:rStyle w:val="a8"/>
          <w:rFonts w:asciiTheme="minorEastAsia" w:hAnsiTheme="minorEastAsia" w:hint="eastAsia"/>
          <w:sz w:val="24"/>
          <w:szCs w:val="24"/>
          <w:shd w:val="clear" w:color="auto" w:fill="FFFFFF"/>
        </w:rPr>
        <w:t>国税发[2010]54号</w:t>
      </w:r>
      <w:r w:rsidR="00A47959">
        <w:rPr>
          <w:rFonts w:asciiTheme="minorEastAsia" w:hAnsiTheme="minorEastAsia"/>
          <w:sz w:val="24"/>
          <w:szCs w:val="24"/>
          <w:shd w:val="clear" w:color="auto" w:fill="FFFFFF"/>
        </w:rPr>
        <w:fldChar w:fldCharType="end"/>
      </w:r>
      <w:bookmarkEnd w:id="3"/>
      <w:r w:rsidRPr="0070340E">
        <w:rPr>
          <w:rFonts w:asciiTheme="minorEastAsia" w:hAnsiTheme="minorEastAsia" w:hint="eastAsia"/>
          <w:color w:val="000000" w:themeColor="text1"/>
          <w:sz w:val="24"/>
          <w:szCs w:val="24"/>
          <w:shd w:val="clear" w:color="auto" w:fill="FFFFFF"/>
        </w:rPr>
        <w:t>第一条第一款）</w:t>
      </w:r>
    </w:p>
    <w:p w14:paraId="7FF68AF8"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4" w:name="_Toc13327876"/>
      <w:bookmarkEnd w:id="2"/>
      <w:r w:rsidRPr="0070340E">
        <w:rPr>
          <w:rFonts w:asciiTheme="minorEastAsia" w:eastAsiaTheme="minorEastAsia" w:hAnsiTheme="minorEastAsia" w:hint="eastAsia"/>
          <w:color w:val="000000" w:themeColor="text1"/>
          <w:sz w:val="24"/>
          <w:szCs w:val="24"/>
        </w:rPr>
        <w:t>（二）全面推进全员全额扣缴明细申报管理</w:t>
      </w:r>
      <w:bookmarkEnd w:id="4"/>
    </w:p>
    <w:p w14:paraId="303E51EB"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1.要认真贯彻落实税务总局关于推进全员全额扣缴明细申报的部署和要求，并将全员全额扣缴明细申报管理纳入税务机关工作考核体系。税务总局将不定期进行抽查、考评和通报相关情况。</w:t>
      </w:r>
    </w:p>
    <w:p w14:paraId="61D967BB" w14:textId="432B6CDC"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 w:name="_Hlk94786"/>
      <w:r w:rsidRPr="0070340E">
        <w:rPr>
          <w:rFonts w:asciiTheme="minorEastAsia" w:hAnsiTheme="minorEastAsia" w:hint="eastAsia"/>
          <w:color w:val="000000" w:themeColor="text1"/>
          <w:sz w:val="24"/>
          <w:szCs w:val="24"/>
          <w:shd w:val="clear" w:color="auto" w:fill="FFFFFF"/>
        </w:rPr>
        <w:t>（</w:t>
      </w:r>
      <w:hyperlink r:id="rId7"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第一条第一款第一项）</w:t>
      </w:r>
    </w:p>
    <w:bookmarkEnd w:id="5"/>
    <w:p w14:paraId="6C6D5616" w14:textId="3E6F107D"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2.要督促扣缴义</w:t>
      </w:r>
      <w:r w:rsidRPr="00A47959">
        <w:rPr>
          <w:rFonts w:asciiTheme="minorEastAsia" w:hAnsiTheme="minorEastAsia" w:cs="宋体" w:hint="eastAsia"/>
          <w:color w:val="000000" w:themeColor="text1"/>
          <w:kern w:val="0"/>
          <w:sz w:val="24"/>
          <w:szCs w:val="24"/>
        </w:rPr>
        <w:t>务人按照</w:t>
      </w:r>
      <w:r w:rsidR="00A47959" w:rsidRPr="00A47959">
        <w:rPr>
          <w:rFonts w:hint="eastAsia"/>
          <w:color w:val="333333"/>
          <w:sz w:val="24"/>
          <w:szCs w:val="24"/>
          <w:shd w:val="clear" w:color="auto" w:fill="FFFFFF"/>
        </w:rPr>
        <w:t>《</w:t>
      </w:r>
      <w:hyperlink r:id="rId8" w:tgtFrame="_self" w:history="1">
        <w:r w:rsidR="00A47959" w:rsidRPr="00A47959">
          <w:rPr>
            <w:rFonts w:hint="eastAsia"/>
            <w:color w:val="6E6E6E"/>
            <w:sz w:val="24"/>
            <w:szCs w:val="24"/>
            <w:u w:val="single"/>
            <w:shd w:val="clear" w:color="auto" w:fill="FFFFFF"/>
          </w:rPr>
          <w:t>个人所得税法</w:t>
        </w:r>
      </w:hyperlink>
      <w:r w:rsidR="00A47959" w:rsidRPr="00A47959">
        <w:rPr>
          <w:rFonts w:hint="eastAsia"/>
          <w:color w:val="333333"/>
          <w:sz w:val="24"/>
          <w:szCs w:val="24"/>
          <w:shd w:val="clear" w:color="auto" w:fill="FFFFFF"/>
        </w:rPr>
        <w:t>》第八条、《</w:t>
      </w:r>
      <w:hyperlink r:id="rId9" w:tgtFrame="_self" w:history="1">
        <w:r w:rsidR="00A47959" w:rsidRPr="00A47959">
          <w:rPr>
            <w:rFonts w:hint="eastAsia"/>
            <w:color w:val="6E6E6E"/>
            <w:sz w:val="24"/>
            <w:szCs w:val="24"/>
            <w:u w:val="single"/>
            <w:shd w:val="clear" w:color="auto" w:fill="FFFFFF"/>
          </w:rPr>
          <w:t>个人所得税法实施条例</w:t>
        </w:r>
      </w:hyperlink>
      <w:r w:rsidR="00A47959" w:rsidRPr="00A47959">
        <w:rPr>
          <w:rFonts w:hint="eastAsia"/>
          <w:color w:val="333333"/>
          <w:sz w:val="24"/>
          <w:szCs w:val="24"/>
          <w:shd w:val="clear" w:color="auto" w:fill="FFFFFF"/>
        </w:rPr>
        <w:t>》第三十七条和《国家税务总局关于印发〈个人所得税全员全额扣缴申报管理暂行办法〉的通知》（</w:t>
      </w:r>
      <w:hyperlink r:id="rId10" w:tgtFrame="_self" w:history="1">
        <w:r w:rsidR="00A47959" w:rsidRPr="00A47959">
          <w:rPr>
            <w:rFonts w:hint="eastAsia"/>
            <w:color w:val="6E6E6E"/>
            <w:sz w:val="24"/>
            <w:szCs w:val="24"/>
            <w:u w:val="single"/>
            <w:shd w:val="clear" w:color="auto" w:fill="FFFFFF"/>
          </w:rPr>
          <w:t>国税发</w:t>
        </w:r>
        <w:r w:rsidR="00A47959" w:rsidRPr="00A47959">
          <w:rPr>
            <w:rFonts w:hint="eastAsia"/>
            <w:color w:val="6E6E6E"/>
            <w:sz w:val="24"/>
            <w:szCs w:val="24"/>
            <w:u w:val="single"/>
            <w:shd w:val="clear" w:color="auto" w:fill="FFFFFF"/>
          </w:rPr>
          <w:t>[2005]205</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的规定，实行全</w:t>
      </w:r>
      <w:r w:rsidRPr="0070340E">
        <w:rPr>
          <w:rFonts w:asciiTheme="minorEastAsia" w:hAnsiTheme="minorEastAsia" w:cs="宋体" w:hint="eastAsia"/>
          <w:color w:val="000000" w:themeColor="text1"/>
          <w:kern w:val="0"/>
          <w:sz w:val="24"/>
          <w:szCs w:val="24"/>
        </w:rPr>
        <w:t>员全额扣缴申报。</w:t>
      </w:r>
    </w:p>
    <w:p w14:paraId="398C6C13" w14:textId="432C343E"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6" w:name="_Hlk94799"/>
      <w:r w:rsidRPr="0070340E">
        <w:rPr>
          <w:rFonts w:asciiTheme="minorEastAsia" w:hAnsiTheme="minorEastAsia" w:hint="eastAsia"/>
          <w:color w:val="000000" w:themeColor="text1"/>
          <w:sz w:val="24"/>
          <w:szCs w:val="24"/>
          <w:shd w:val="clear" w:color="auto" w:fill="FFFFFF"/>
        </w:rPr>
        <w:t>（</w:t>
      </w:r>
      <w:hyperlink r:id="rId11"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第一条第一款第二项第一目）</w:t>
      </w:r>
    </w:p>
    <w:bookmarkEnd w:id="6"/>
    <w:p w14:paraId="5B1AE5E6"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lastRenderedPageBreak/>
        <w:t>扣缴义务人已经实行全员全额扣缴明细申报的，主管税务机关要促使其提高申报质量，特别是要求其如实申报支付工薪所得以外的其他所得（如劳务报酬所得等）、非本单位员工的支付信息和未达到费用扣除标准的支付信息。</w:t>
      </w:r>
    </w:p>
    <w:p w14:paraId="31F28FF5" w14:textId="575F98C5"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12"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第一条第一款第二项第二目）</w:t>
      </w:r>
    </w:p>
    <w:p w14:paraId="418976F5"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扣缴义务人未依法实行全员全额扣缴明细申报的，主管税务机关应按照税收征管法有关规定对其进行处罚。</w:t>
      </w:r>
    </w:p>
    <w:p w14:paraId="51A55D62" w14:textId="059463BB"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13"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第一条第一款第二项第三目）</w:t>
      </w:r>
    </w:p>
    <w:p w14:paraId="4FFC6446"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7" w:name="_Toc13327877"/>
      <w:r w:rsidRPr="0070340E">
        <w:rPr>
          <w:rFonts w:asciiTheme="minorEastAsia" w:eastAsiaTheme="minorEastAsia" w:hAnsiTheme="minorEastAsia" w:hint="eastAsia"/>
          <w:color w:val="000000" w:themeColor="text1"/>
          <w:sz w:val="24"/>
          <w:szCs w:val="24"/>
        </w:rPr>
        <w:t>（三）加强年所得12万元以上纳税人自行纳税申报管理</w:t>
      </w:r>
      <w:bookmarkEnd w:id="7"/>
    </w:p>
    <w:p w14:paraId="209FABF2"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年所得12万元以上纳税人自行纳税申报是纳税人的法定义务，是加强高收入者征管的重要措施。各地税务机关要健全自行纳税申报制度，优化申报流程，将自行纳税申报作为日常征管工作，实行常态化管理。通过对高收入者税源分布状况的掌握、扣缴义务人明细申报信息的审核比对，以及加强与工商、房管、人力资源和社会保障、证券机构等部门的协作和信息共享，进一步促进年所得12万元以上纳税人自行纳税申报。要注重提高自行纳税申报数据质量。采取切实措施,促使纳税人申报其不同形式的所有来源所得，不断提高申报数据的真实性和完整性。对未扣缴税款或扣缴不足的，要督促纳税人补缴税款；纳税人应申报未申报、申报不实少缴税款的，要按照税收征管法相关规定进行处理。</w:t>
      </w:r>
    </w:p>
    <w:p w14:paraId="28942693" w14:textId="5AA7E98F"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8" w:name="_Hlk94831"/>
      <w:r w:rsidRPr="0070340E">
        <w:rPr>
          <w:rFonts w:asciiTheme="minorEastAsia" w:hAnsiTheme="minorEastAsia" w:hint="eastAsia"/>
          <w:color w:val="000000" w:themeColor="text1"/>
          <w:sz w:val="24"/>
          <w:szCs w:val="24"/>
          <w:shd w:val="clear" w:color="auto" w:fill="FFFFFF"/>
        </w:rPr>
        <w:t>（</w:t>
      </w:r>
      <w:hyperlink r:id="rId14"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第一条第三款）</w:t>
      </w:r>
    </w:p>
    <w:p w14:paraId="5698B011"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9" w:name="_Toc13327878"/>
      <w:bookmarkEnd w:id="8"/>
      <w:r w:rsidRPr="0070340E">
        <w:rPr>
          <w:rFonts w:asciiTheme="minorEastAsia" w:eastAsiaTheme="minorEastAsia" w:hAnsiTheme="minorEastAsia" w:hint="eastAsia"/>
          <w:color w:val="000000" w:themeColor="text1"/>
          <w:sz w:val="24"/>
          <w:szCs w:val="24"/>
        </w:rPr>
        <w:t>（四）积极推广应用个人所得税信息管理系统</w:t>
      </w:r>
      <w:bookmarkEnd w:id="9"/>
    </w:p>
    <w:p w14:paraId="3AA74DC6"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没有推广应用个人所得税信息管理系统和推广面较小的地区，省级税务机关要加大工作力度，按照税务总局工作部署和要求，确保个人所得税管理系统推广到所有实行明细申报的扣缴义务人。已经全面推广应用个人所得税信息管理系统的地区，要按照要求，尽快将个人所得税明细数据向税务总局集中。</w:t>
      </w:r>
    </w:p>
    <w:p w14:paraId="3F5F775A" w14:textId="5B8BB913"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15"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第一条第四款）</w:t>
      </w:r>
    </w:p>
    <w:p w14:paraId="4C728A0B"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10" w:name="_Toc13327879"/>
      <w:r w:rsidRPr="0070340E">
        <w:rPr>
          <w:rFonts w:asciiTheme="minorEastAsia" w:hAnsiTheme="minorEastAsia" w:hint="eastAsia"/>
          <w:color w:val="000000" w:themeColor="text1"/>
          <w:sz w:val="24"/>
          <w:szCs w:val="24"/>
        </w:rPr>
        <w:lastRenderedPageBreak/>
        <w:t>二、切实加强高收入者主要所得项目的征收管理</w:t>
      </w:r>
      <w:bookmarkEnd w:id="10"/>
    </w:p>
    <w:p w14:paraId="6126935F"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11" w:name="_Toc13327880"/>
      <w:r w:rsidRPr="0070340E">
        <w:rPr>
          <w:rFonts w:asciiTheme="minorEastAsia" w:eastAsiaTheme="minorEastAsia" w:hAnsiTheme="minorEastAsia" w:hint="eastAsia"/>
          <w:color w:val="000000" w:themeColor="text1"/>
          <w:sz w:val="24"/>
          <w:szCs w:val="24"/>
        </w:rPr>
        <w:t>（一）加强财产转让所得征收管理。</w:t>
      </w:r>
      <w:bookmarkEnd w:id="11"/>
    </w:p>
    <w:p w14:paraId="1FF09960"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12" w:name="_Toc13327881"/>
      <w:r w:rsidRPr="0070340E">
        <w:rPr>
          <w:rFonts w:asciiTheme="minorEastAsia" w:hAnsiTheme="minorEastAsia" w:hint="eastAsia"/>
          <w:color w:val="000000" w:themeColor="text1"/>
          <w:sz w:val="24"/>
          <w:szCs w:val="24"/>
        </w:rPr>
        <w:t>1.加强股权转让所得征收管理</w:t>
      </w:r>
      <w:bookmarkEnd w:id="12"/>
    </w:p>
    <w:p w14:paraId="6C38C6FF" w14:textId="77777777" w:rsidR="0070340E" w:rsidRPr="0070340E" w:rsidRDefault="0070340E" w:rsidP="0070340E">
      <w:pPr>
        <w:pStyle w:val="4"/>
        <w:spacing w:before="50" w:after="0" w:line="480" w:lineRule="atLeast"/>
        <w:rPr>
          <w:rFonts w:asciiTheme="minorEastAsia" w:eastAsiaTheme="minorEastAsia" w:hAnsiTheme="minorEastAsia"/>
          <w:color w:val="000000" w:themeColor="text1"/>
          <w:sz w:val="24"/>
          <w:szCs w:val="24"/>
        </w:rPr>
      </w:pPr>
      <w:bookmarkStart w:id="13" w:name="_Toc13327882"/>
      <w:r w:rsidRPr="0070340E">
        <w:rPr>
          <w:rFonts w:asciiTheme="minorEastAsia" w:eastAsiaTheme="minorEastAsia" w:hAnsiTheme="minorEastAsia" w:hint="eastAsia"/>
          <w:color w:val="000000" w:themeColor="text1"/>
          <w:sz w:val="24"/>
          <w:szCs w:val="24"/>
        </w:rPr>
        <w:t>（1）加强限售股转让所得征收管理。</w:t>
      </w:r>
      <w:bookmarkEnd w:id="13"/>
    </w:p>
    <w:p w14:paraId="59371DA5"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要加强与证券机构的联系，主动掌握本地区上市公司和即将上市公司的股东构成情况，做好限售股转让所得个人所得税征收工作。</w:t>
      </w:r>
    </w:p>
    <w:p w14:paraId="32792A45" w14:textId="190F6490"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4" w:name="_Hlk94861"/>
      <w:r w:rsidRPr="0070340E">
        <w:rPr>
          <w:rFonts w:asciiTheme="minorEastAsia" w:hAnsiTheme="minorEastAsia" w:hint="eastAsia"/>
          <w:color w:val="000000" w:themeColor="text1"/>
          <w:sz w:val="24"/>
          <w:szCs w:val="24"/>
          <w:shd w:val="clear" w:color="auto" w:fill="FFFFFF"/>
        </w:rPr>
        <w:t>（</w:t>
      </w:r>
      <w:hyperlink r:id="rId16"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第二条第一款第一目）</w:t>
      </w:r>
    </w:p>
    <w:p w14:paraId="6D575F0C"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积极与工商行政管理部门合作，加强对个人转让非上市公司股权所得征管。重点做好平价或低价转让股权的核定工作，建立电子台账，记录股权转让的交易价格和税费情况，强化财产原值管理。</w:t>
      </w:r>
    </w:p>
    <w:p w14:paraId="4BE64239" w14:textId="7ECADF6E"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cs="宋体"/>
          <w:color w:val="000000" w:themeColor="text1"/>
          <w:kern w:val="0"/>
          <w:sz w:val="24"/>
          <w:szCs w:val="24"/>
        </w:rPr>
      </w:pPr>
      <w:r w:rsidRPr="0070340E">
        <w:rPr>
          <w:rFonts w:asciiTheme="minorEastAsia" w:hAnsiTheme="minorEastAsia" w:hint="eastAsia"/>
          <w:b/>
          <w:bCs/>
          <w:color w:val="000000" w:themeColor="text1"/>
          <w:sz w:val="24"/>
          <w:szCs w:val="24"/>
        </w:rPr>
        <w:t>（</w:t>
      </w:r>
      <w:bookmarkStart w:id="15" w:name="_Hlk54029994"/>
      <w:r w:rsidR="00A47959">
        <w:rPr>
          <w:rFonts w:asciiTheme="minorEastAsia" w:hAnsiTheme="minorEastAsia"/>
          <w:sz w:val="24"/>
          <w:szCs w:val="24"/>
        </w:rPr>
        <w:fldChar w:fldCharType="begin"/>
      </w:r>
      <w:r w:rsidR="00A47959">
        <w:rPr>
          <w:rFonts w:asciiTheme="minorEastAsia" w:hAnsiTheme="minorEastAsia"/>
          <w:sz w:val="24"/>
          <w:szCs w:val="24"/>
        </w:rPr>
        <w:instrText xml:space="preserve"> HYPERLINK "http://ssfb86.com/index/News/detail/newsid/1764.html" </w:instrText>
      </w:r>
      <w:r w:rsidR="00A47959">
        <w:rPr>
          <w:rFonts w:asciiTheme="minorEastAsia" w:hAnsiTheme="minorEastAsia"/>
          <w:sz w:val="24"/>
          <w:szCs w:val="24"/>
        </w:rPr>
      </w:r>
      <w:r w:rsidR="00A47959">
        <w:rPr>
          <w:rFonts w:asciiTheme="minorEastAsia" w:hAnsiTheme="minorEastAsia"/>
          <w:sz w:val="24"/>
          <w:szCs w:val="24"/>
        </w:rPr>
        <w:fldChar w:fldCharType="separate"/>
      </w:r>
      <w:r w:rsidRPr="00A47959">
        <w:rPr>
          <w:rStyle w:val="a8"/>
          <w:rFonts w:asciiTheme="minorEastAsia" w:hAnsiTheme="minorEastAsia"/>
          <w:sz w:val="24"/>
          <w:szCs w:val="24"/>
        </w:rPr>
        <w:t>国税发〔2011〕50号</w:t>
      </w:r>
      <w:r w:rsidR="00A47959">
        <w:rPr>
          <w:rFonts w:asciiTheme="minorEastAsia" w:hAnsiTheme="minorEastAsia"/>
          <w:sz w:val="24"/>
          <w:szCs w:val="24"/>
        </w:rPr>
        <w:fldChar w:fldCharType="end"/>
      </w:r>
      <w:bookmarkEnd w:id="15"/>
      <w:r w:rsidRPr="0070340E">
        <w:rPr>
          <w:rFonts w:asciiTheme="minorEastAsia" w:hAnsiTheme="minorEastAsia" w:hint="eastAsia"/>
          <w:b/>
          <w:bCs/>
          <w:color w:val="000000" w:themeColor="text1"/>
          <w:sz w:val="24"/>
          <w:szCs w:val="24"/>
        </w:rPr>
        <w:t>第二条第一款第一项第一目）</w:t>
      </w:r>
    </w:p>
    <w:p w14:paraId="5B877014" w14:textId="77777777" w:rsidR="0070340E" w:rsidRPr="0070340E" w:rsidRDefault="0070340E" w:rsidP="0070340E">
      <w:pPr>
        <w:pStyle w:val="4"/>
        <w:spacing w:before="50" w:after="0" w:line="480" w:lineRule="atLeast"/>
        <w:rPr>
          <w:rFonts w:asciiTheme="minorEastAsia" w:eastAsiaTheme="minorEastAsia" w:hAnsiTheme="minorEastAsia"/>
          <w:color w:val="000000" w:themeColor="text1"/>
          <w:sz w:val="24"/>
          <w:szCs w:val="24"/>
        </w:rPr>
      </w:pPr>
      <w:bookmarkStart w:id="16" w:name="_Toc13327883"/>
      <w:bookmarkEnd w:id="14"/>
      <w:r w:rsidRPr="0070340E">
        <w:rPr>
          <w:rFonts w:asciiTheme="minorEastAsia" w:eastAsiaTheme="minorEastAsia" w:hAnsiTheme="minorEastAsia" w:hint="eastAsia"/>
          <w:color w:val="000000" w:themeColor="text1"/>
          <w:sz w:val="24"/>
          <w:szCs w:val="24"/>
        </w:rPr>
        <w:t>（2）加强非上市公司股权转让所得征收管理。</w:t>
      </w:r>
      <w:bookmarkEnd w:id="16"/>
    </w:p>
    <w:p w14:paraId="75E39444" w14:textId="1812618F"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要继续加强与工商行政管理部门的合作，探索建立自然人股权变更登记的税收前置措施或以其他方式及时获取股权转让信息。对平价或低价转让的，要按照</w:t>
      </w:r>
      <w:r w:rsidR="00A47959" w:rsidRPr="00A47959">
        <w:rPr>
          <w:rFonts w:hint="eastAsia"/>
          <w:color w:val="333333"/>
          <w:shd w:val="clear" w:color="auto" w:fill="FFFFFF"/>
        </w:rPr>
        <w:t>《</w:t>
      </w:r>
      <w:r w:rsidR="00A47959" w:rsidRPr="00A47959">
        <w:rPr>
          <w:rFonts w:hint="eastAsia"/>
          <w:color w:val="333333"/>
          <w:sz w:val="24"/>
          <w:szCs w:val="24"/>
          <w:shd w:val="clear" w:color="auto" w:fill="FFFFFF"/>
        </w:rPr>
        <w:t>国家税务总局关于加强股权转让所得征收个人所得税管理的通知》（</w:t>
      </w:r>
      <w:hyperlink r:id="rId17" w:tgtFrame="_self" w:history="1">
        <w:r w:rsidR="00A47959" w:rsidRPr="00A47959">
          <w:rPr>
            <w:rFonts w:hint="eastAsia"/>
            <w:color w:val="6E6E6E"/>
            <w:sz w:val="24"/>
            <w:szCs w:val="24"/>
            <w:u w:val="single"/>
            <w:shd w:val="clear" w:color="auto" w:fill="FFFFFF"/>
          </w:rPr>
          <w:t>国税函</w:t>
        </w:r>
        <w:r w:rsidR="00A47959" w:rsidRPr="00A47959">
          <w:rPr>
            <w:rFonts w:hint="eastAsia"/>
            <w:color w:val="6E6E6E"/>
            <w:sz w:val="24"/>
            <w:szCs w:val="24"/>
            <w:u w:val="single"/>
            <w:shd w:val="clear" w:color="auto" w:fill="FFFFFF"/>
          </w:rPr>
          <w:t>[2009]285</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的</w:t>
      </w:r>
      <w:r w:rsidRPr="0070340E">
        <w:rPr>
          <w:rFonts w:asciiTheme="minorEastAsia" w:hAnsiTheme="minorEastAsia" w:cs="宋体" w:hint="eastAsia"/>
          <w:color w:val="000000" w:themeColor="text1"/>
          <w:kern w:val="0"/>
          <w:sz w:val="24"/>
          <w:szCs w:val="24"/>
        </w:rPr>
        <w:t>规定，依法核定计税依据。</w:t>
      </w:r>
    </w:p>
    <w:p w14:paraId="36BBEF36" w14:textId="0A6A2D66"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18"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第二条第一款第二目）</w:t>
      </w:r>
    </w:p>
    <w:p w14:paraId="62D4C3DB"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加强个人对外投资取得股权的税源管理，重点监管上市公司在上市前进行增资扩股、股权转让、引入战略投资者等行为的涉税事项，防止税款流失。</w:t>
      </w:r>
    </w:p>
    <w:p w14:paraId="176A8F37" w14:textId="55DC8A16" w:rsidR="0070340E" w:rsidRPr="0070340E" w:rsidRDefault="0070340E" w:rsidP="0070340E">
      <w:pPr>
        <w:spacing w:beforeLines="50" w:before="156" w:line="480" w:lineRule="atLeast"/>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19"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第二条第一款第一项第二目）</w:t>
      </w:r>
    </w:p>
    <w:p w14:paraId="6E04DE9C" w14:textId="1F45A973"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与相关部门密切配合，积极做好个人转让上市公司限售股个人所得税征管工作。</w:t>
      </w:r>
    </w:p>
    <w:p w14:paraId="4BDCF843" w14:textId="09501402" w:rsidR="0070340E" w:rsidRPr="0070340E" w:rsidRDefault="0070340E" w:rsidP="0070340E">
      <w:pPr>
        <w:spacing w:beforeLines="50" w:before="156" w:line="480" w:lineRule="atLeast"/>
        <w:jc w:val="right"/>
        <w:rPr>
          <w:rFonts w:asciiTheme="minorEastAsia" w:hAnsiTheme="minorEastAsia" w:cs="宋体"/>
          <w:color w:val="000000" w:themeColor="text1"/>
          <w:kern w:val="0"/>
          <w:sz w:val="24"/>
          <w:szCs w:val="24"/>
        </w:rPr>
      </w:pPr>
      <w:r w:rsidRPr="0070340E">
        <w:rPr>
          <w:rFonts w:asciiTheme="minorEastAsia" w:hAnsiTheme="minorEastAsia" w:hint="eastAsia"/>
          <w:b/>
          <w:bCs/>
          <w:color w:val="000000" w:themeColor="text1"/>
          <w:sz w:val="24"/>
          <w:szCs w:val="24"/>
        </w:rPr>
        <w:t>（</w:t>
      </w:r>
      <w:hyperlink r:id="rId20"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第二条第一款第一项第三目）</w:t>
      </w:r>
    </w:p>
    <w:p w14:paraId="772D0A43"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17" w:name="_Toc13327884"/>
      <w:r w:rsidRPr="0070340E">
        <w:rPr>
          <w:rFonts w:asciiTheme="minorEastAsia" w:hAnsiTheme="minorEastAsia"/>
          <w:color w:val="000000" w:themeColor="text1"/>
          <w:sz w:val="24"/>
          <w:szCs w:val="24"/>
        </w:rPr>
        <w:lastRenderedPageBreak/>
        <w:t>2</w:t>
      </w:r>
      <w:r w:rsidRPr="0070340E">
        <w:rPr>
          <w:rFonts w:asciiTheme="minorEastAsia" w:hAnsiTheme="minorEastAsia" w:hint="eastAsia"/>
          <w:color w:val="000000" w:themeColor="text1"/>
          <w:sz w:val="24"/>
          <w:szCs w:val="24"/>
        </w:rPr>
        <w:t>.加强房屋转让所得征收管理。</w:t>
      </w:r>
      <w:bookmarkEnd w:id="17"/>
    </w:p>
    <w:p w14:paraId="15EFAA13" w14:textId="50F2A16E" w:rsidR="0070340E" w:rsidRPr="00A47959"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要切实按</w:t>
      </w:r>
      <w:r w:rsidRPr="00A47959">
        <w:rPr>
          <w:rFonts w:asciiTheme="minorEastAsia" w:hAnsiTheme="minorEastAsia" w:cs="宋体" w:hint="eastAsia"/>
          <w:color w:val="000000" w:themeColor="text1"/>
          <w:kern w:val="0"/>
          <w:sz w:val="24"/>
          <w:szCs w:val="24"/>
        </w:rPr>
        <w:t>照</w:t>
      </w:r>
      <w:r w:rsidR="00A47959" w:rsidRPr="00A47959">
        <w:rPr>
          <w:rFonts w:hint="eastAsia"/>
          <w:color w:val="333333"/>
          <w:sz w:val="24"/>
          <w:szCs w:val="24"/>
          <w:shd w:val="clear" w:color="auto" w:fill="FFFFFF"/>
        </w:rPr>
        <w:t>《国家税务总局关于个人住房转让所得征收个人所得税有关问题的通知》（</w:t>
      </w:r>
      <w:hyperlink r:id="rId21" w:tgtFrame="_self" w:history="1">
        <w:r w:rsidR="00A47959" w:rsidRPr="00A47959">
          <w:rPr>
            <w:rFonts w:hint="eastAsia"/>
            <w:color w:val="6E6E6E"/>
            <w:sz w:val="24"/>
            <w:szCs w:val="24"/>
            <w:u w:val="single"/>
            <w:shd w:val="clear" w:color="auto" w:fill="FFFFFF"/>
          </w:rPr>
          <w:t>国税发</w:t>
        </w:r>
        <w:r w:rsidR="00A47959" w:rsidRPr="00A47959">
          <w:rPr>
            <w:rFonts w:hint="eastAsia"/>
            <w:color w:val="6E6E6E"/>
            <w:sz w:val="24"/>
            <w:szCs w:val="24"/>
            <w:u w:val="single"/>
            <w:shd w:val="clear" w:color="auto" w:fill="FFFFFF"/>
          </w:rPr>
          <w:t>[2006]108</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）、《国家税务总局关于个人转让房屋有关税收征管问题的通知》</w:t>
      </w:r>
      <w:r w:rsidR="00A47959" w:rsidRPr="00A47959">
        <w:rPr>
          <w:rFonts w:hint="eastAsia"/>
          <w:color w:val="333333"/>
          <w:sz w:val="24"/>
          <w:szCs w:val="24"/>
          <w:shd w:val="clear" w:color="auto" w:fill="FFFFFF"/>
        </w:rPr>
        <w:t>(</w:t>
      </w:r>
      <w:hyperlink r:id="rId22" w:tgtFrame="_self" w:history="1">
        <w:r w:rsidR="00A47959" w:rsidRPr="00A47959">
          <w:rPr>
            <w:rFonts w:hint="eastAsia"/>
            <w:color w:val="6E6E6E"/>
            <w:sz w:val="24"/>
            <w:szCs w:val="24"/>
            <w:u w:val="single"/>
            <w:shd w:val="clear" w:color="auto" w:fill="FFFFFF"/>
          </w:rPr>
          <w:t>国税发</w:t>
        </w:r>
        <w:r w:rsidR="00A47959" w:rsidRPr="00A47959">
          <w:rPr>
            <w:rFonts w:hint="eastAsia"/>
            <w:color w:val="6E6E6E"/>
            <w:sz w:val="24"/>
            <w:szCs w:val="24"/>
            <w:u w:val="single"/>
            <w:shd w:val="clear" w:color="auto" w:fill="FFFFFF"/>
          </w:rPr>
          <w:t>[2007]33</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等相关文件规定，继续做好房屋转让所得征收个人所得税管理工作。</w:t>
      </w:r>
    </w:p>
    <w:p w14:paraId="265C4696" w14:textId="3F193647"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bookmarkStart w:id="18" w:name="_Hlk54029807"/>
      <w:r w:rsidR="00A47959">
        <w:rPr>
          <w:rFonts w:asciiTheme="minorEastAsia" w:hAnsiTheme="minorEastAsia"/>
          <w:sz w:val="24"/>
          <w:szCs w:val="24"/>
          <w:shd w:val="clear" w:color="auto" w:fill="FFFFFF"/>
        </w:rPr>
        <w:fldChar w:fldCharType="begin"/>
      </w:r>
      <w:r w:rsidR="00A47959">
        <w:rPr>
          <w:rFonts w:asciiTheme="minorEastAsia" w:hAnsiTheme="minorEastAsia"/>
          <w:sz w:val="24"/>
          <w:szCs w:val="24"/>
          <w:shd w:val="clear" w:color="auto" w:fill="FFFFFF"/>
        </w:rPr>
        <w:instrText xml:space="preserve"> HYPERLINK "http://ssfb86.com/index/News/detail/newsid/1933.html" </w:instrText>
      </w:r>
      <w:r w:rsidR="00A47959">
        <w:rPr>
          <w:rFonts w:asciiTheme="minorEastAsia" w:hAnsiTheme="minorEastAsia"/>
          <w:sz w:val="24"/>
          <w:szCs w:val="24"/>
          <w:shd w:val="clear" w:color="auto" w:fill="FFFFFF"/>
        </w:rPr>
      </w:r>
      <w:r w:rsidR="00A47959">
        <w:rPr>
          <w:rFonts w:asciiTheme="minorEastAsia" w:hAnsiTheme="minorEastAsia"/>
          <w:sz w:val="24"/>
          <w:szCs w:val="24"/>
          <w:shd w:val="clear" w:color="auto" w:fill="FFFFFF"/>
        </w:rPr>
        <w:fldChar w:fldCharType="separate"/>
      </w:r>
      <w:r w:rsidR="00A47959" w:rsidRPr="00A47959">
        <w:rPr>
          <w:rStyle w:val="a8"/>
          <w:rFonts w:asciiTheme="minorEastAsia" w:hAnsiTheme="minorEastAsia" w:hint="eastAsia"/>
          <w:sz w:val="24"/>
          <w:szCs w:val="24"/>
          <w:shd w:val="clear" w:color="auto" w:fill="FFFFFF"/>
        </w:rPr>
        <w:t>国税发[2010]54号</w:t>
      </w:r>
      <w:r w:rsidR="00A47959">
        <w:rPr>
          <w:rFonts w:asciiTheme="minorEastAsia" w:hAnsiTheme="minorEastAsia"/>
          <w:sz w:val="24"/>
          <w:szCs w:val="24"/>
          <w:shd w:val="clear" w:color="auto" w:fill="FFFFFF"/>
        </w:rPr>
        <w:fldChar w:fldCharType="end"/>
      </w:r>
      <w:bookmarkEnd w:id="18"/>
      <w:r w:rsidRPr="0070340E">
        <w:rPr>
          <w:rFonts w:asciiTheme="minorEastAsia" w:hAnsiTheme="minorEastAsia" w:hint="eastAsia"/>
          <w:color w:val="000000" w:themeColor="text1"/>
          <w:sz w:val="24"/>
          <w:szCs w:val="24"/>
          <w:shd w:val="clear" w:color="auto" w:fill="FFFFFF"/>
        </w:rPr>
        <w:t>第二条第一款第三目）</w:t>
      </w:r>
    </w:p>
    <w:p w14:paraId="3D0CBE5C" w14:textId="4E8262F0"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搞好与相关部门的配合，加强房屋转让所得征管，符合查实征收条件的，坚持实行查实征收；确实不符合查实征收条件的，按照有关规定严格核定征收。</w:t>
      </w:r>
    </w:p>
    <w:p w14:paraId="2CEFAF68" w14:textId="2D7163B2"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cs="宋体"/>
          <w:color w:val="000000" w:themeColor="text1"/>
          <w:kern w:val="0"/>
          <w:sz w:val="24"/>
          <w:szCs w:val="24"/>
        </w:rPr>
      </w:pPr>
      <w:bookmarkStart w:id="19" w:name="_Hlk95752"/>
      <w:r w:rsidRPr="0070340E">
        <w:rPr>
          <w:rFonts w:asciiTheme="minorEastAsia" w:hAnsiTheme="minorEastAsia" w:hint="eastAsia"/>
          <w:b/>
          <w:bCs/>
          <w:color w:val="000000" w:themeColor="text1"/>
          <w:sz w:val="24"/>
          <w:szCs w:val="24"/>
        </w:rPr>
        <w:t>（</w:t>
      </w:r>
      <w:hyperlink r:id="rId23"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第二条第一款第二项第一目）</w:t>
      </w:r>
    </w:p>
    <w:p w14:paraId="0228F669"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20" w:name="_Toc13327885"/>
      <w:bookmarkEnd w:id="19"/>
      <w:r w:rsidRPr="0070340E">
        <w:rPr>
          <w:rFonts w:asciiTheme="minorEastAsia" w:hAnsiTheme="minorEastAsia"/>
          <w:color w:val="000000" w:themeColor="text1"/>
          <w:sz w:val="24"/>
          <w:szCs w:val="24"/>
        </w:rPr>
        <w:t>3</w:t>
      </w:r>
      <w:r w:rsidRPr="0070340E">
        <w:rPr>
          <w:rFonts w:asciiTheme="minorEastAsia" w:hAnsiTheme="minorEastAsia" w:hint="eastAsia"/>
          <w:color w:val="000000" w:themeColor="text1"/>
          <w:sz w:val="24"/>
          <w:szCs w:val="24"/>
        </w:rPr>
        <w:t>.加强拍卖所得征收管理。</w:t>
      </w:r>
      <w:bookmarkEnd w:id="20"/>
    </w:p>
    <w:p w14:paraId="7881D483" w14:textId="18E49213"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主管税务机关应及时了解拍卖相关信息</w:t>
      </w:r>
      <w:r w:rsidRPr="00A47959">
        <w:rPr>
          <w:rFonts w:asciiTheme="minorEastAsia" w:hAnsiTheme="minorEastAsia" w:cs="宋体" w:hint="eastAsia"/>
          <w:color w:val="000000" w:themeColor="text1"/>
          <w:kern w:val="0"/>
          <w:sz w:val="24"/>
          <w:szCs w:val="24"/>
        </w:rPr>
        <w:t>，严格执行</w:t>
      </w:r>
      <w:r w:rsidR="00A47959" w:rsidRPr="00A47959">
        <w:rPr>
          <w:rFonts w:hint="eastAsia"/>
          <w:color w:val="333333"/>
          <w:sz w:val="24"/>
          <w:szCs w:val="24"/>
          <w:shd w:val="clear" w:color="auto" w:fill="FFFFFF"/>
        </w:rPr>
        <w:t>《国家税务总局关于加强和规范个人取得拍卖收入征收个人所得税有关问题的通知》（</w:t>
      </w:r>
      <w:hyperlink r:id="rId24" w:tgtFrame="_self" w:history="1">
        <w:r w:rsidR="00A47959" w:rsidRPr="00A47959">
          <w:rPr>
            <w:rFonts w:hint="eastAsia"/>
            <w:color w:val="4788D7"/>
            <w:sz w:val="24"/>
            <w:szCs w:val="24"/>
            <w:u w:val="single"/>
            <w:shd w:val="clear" w:color="auto" w:fill="FFFFFF"/>
          </w:rPr>
          <w:t>国税发</w:t>
        </w:r>
        <w:r w:rsidR="00A47959" w:rsidRPr="00A47959">
          <w:rPr>
            <w:rFonts w:hint="eastAsia"/>
            <w:color w:val="4788D7"/>
            <w:sz w:val="24"/>
            <w:szCs w:val="24"/>
            <w:u w:val="single"/>
            <w:shd w:val="clear" w:color="auto" w:fill="FFFFFF"/>
          </w:rPr>
          <w:t>[2007]38</w:t>
        </w:r>
        <w:r w:rsidR="00A47959" w:rsidRPr="00A47959">
          <w:rPr>
            <w:rFonts w:hint="eastAsia"/>
            <w:color w:val="4788D7"/>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的规定</w:t>
      </w:r>
      <w:r w:rsidRPr="0070340E">
        <w:rPr>
          <w:rFonts w:asciiTheme="minorEastAsia" w:hAnsiTheme="minorEastAsia" w:cs="宋体" w:hint="eastAsia"/>
          <w:color w:val="000000" w:themeColor="text1"/>
          <w:kern w:val="0"/>
          <w:sz w:val="24"/>
          <w:szCs w:val="24"/>
        </w:rPr>
        <w:t>，督促拍卖单位依法扣缴个人所得税。</w:t>
      </w:r>
    </w:p>
    <w:p w14:paraId="27C2928A" w14:textId="4F0E9BC3"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25"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第二条第一款第四目）</w:t>
      </w:r>
    </w:p>
    <w:p w14:paraId="6E7C86BB"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加强与本地区拍卖单位的联系，掌握拍卖所得税源信息，督促拍卖单位依法代扣代缴个人所得税。</w:t>
      </w:r>
    </w:p>
    <w:p w14:paraId="3A49A287" w14:textId="1CE88D3E"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21" w:name="_Hlk95803"/>
      <w:r w:rsidRPr="0070340E">
        <w:rPr>
          <w:rFonts w:asciiTheme="minorEastAsia" w:hAnsiTheme="minorEastAsia" w:hint="eastAsia"/>
          <w:b/>
          <w:bCs/>
          <w:color w:val="000000" w:themeColor="text1"/>
          <w:sz w:val="24"/>
          <w:szCs w:val="24"/>
        </w:rPr>
        <w:t>（</w:t>
      </w:r>
      <w:hyperlink r:id="rId26"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第二条第一款第二项第二目）</w:t>
      </w:r>
    </w:p>
    <w:p w14:paraId="35ECF2C7"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22" w:name="_Toc13327886"/>
      <w:bookmarkEnd w:id="21"/>
      <w:r w:rsidRPr="0070340E">
        <w:rPr>
          <w:rFonts w:asciiTheme="minorEastAsia" w:hAnsiTheme="minorEastAsia"/>
          <w:color w:val="000000" w:themeColor="text1"/>
          <w:sz w:val="24"/>
          <w:szCs w:val="24"/>
        </w:rPr>
        <w:t>4</w:t>
      </w:r>
      <w:r w:rsidRPr="0070340E">
        <w:rPr>
          <w:rFonts w:asciiTheme="minorEastAsia" w:hAnsiTheme="minorEastAsia" w:hint="eastAsia"/>
          <w:color w:val="000000" w:themeColor="text1"/>
          <w:sz w:val="24"/>
          <w:szCs w:val="24"/>
        </w:rPr>
        <w:t>.抓好其他形式财产转让所得征管。</w:t>
      </w:r>
      <w:bookmarkEnd w:id="22"/>
    </w:p>
    <w:p w14:paraId="5E2A9F0C"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重点是加强个人以评估增值的非货币性资产对外投资取得股权（份）的税源管理，完善征管链条。</w:t>
      </w:r>
    </w:p>
    <w:p w14:paraId="242478A3" w14:textId="66A6C1A8"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23" w:name="_Hlk95884"/>
      <w:r w:rsidRPr="0070340E">
        <w:rPr>
          <w:rFonts w:asciiTheme="minorEastAsia" w:hAnsiTheme="minorEastAsia" w:hint="eastAsia"/>
          <w:b/>
          <w:bCs/>
          <w:color w:val="000000" w:themeColor="text1"/>
          <w:sz w:val="24"/>
          <w:szCs w:val="24"/>
        </w:rPr>
        <w:t>（</w:t>
      </w:r>
      <w:hyperlink r:id="rId27"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第二条第一款第三项）</w:t>
      </w:r>
    </w:p>
    <w:p w14:paraId="2634C08F"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24" w:name="_Toc13327887"/>
      <w:bookmarkEnd w:id="23"/>
      <w:r w:rsidRPr="0070340E">
        <w:rPr>
          <w:rFonts w:asciiTheme="minorEastAsia" w:eastAsiaTheme="minorEastAsia" w:hAnsiTheme="minorEastAsia" w:hint="eastAsia"/>
          <w:color w:val="000000" w:themeColor="text1"/>
          <w:sz w:val="24"/>
          <w:szCs w:val="24"/>
        </w:rPr>
        <w:lastRenderedPageBreak/>
        <w:t>（二）加强利息、股息、红利所得征收管理</w:t>
      </w:r>
      <w:bookmarkEnd w:id="24"/>
    </w:p>
    <w:p w14:paraId="50CC0265"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25" w:name="_Toc13327888"/>
      <w:r w:rsidRPr="0070340E">
        <w:rPr>
          <w:rFonts w:asciiTheme="minorEastAsia" w:hAnsiTheme="minorEastAsia" w:hint="eastAsia"/>
          <w:color w:val="000000" w:themeColor="text1"/>
          <w:sz w:val="24"/>
          <w:szCs w:val="24"/>
        </w:rPr>
        <w:t>1.加强股息、红利所得征收管理。</w:t>
      </w:r>
      <w:bookmarkEnd w:id="25"/>
    </w:p>
    <w:p w14:paraId="3D84AB5E"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重点加强股份有限公司分配股息、红利时的扣缴税款管理，对在境外上市公司分配股息红利，要严格执行现行有关征免个人所得税的规定。加强企业转增注册资本和股本管理，对以未分配利润、盈余公积和除股票溢价发行外的其他资本公积转增注册资本和股本的，要按照“利息、股息、红利所得”项目，依据现行政策规定计征个人所得税。</w:t>
      </w:r>
    </w:p>
    <w:p w14:paraId="25AF0459" w14:textId="0B4C9281"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26" w:name="_Hlk94891"/>
      <w:r w:rsidRPr="0070340E">
        <w:rPr>
          <w:rFonts w:asciiTheme="minorEastAsia" w:hAnsiTheme="minorEastAsia" w:hint="eastAsia"/>
          <w:color w:val="000000" w:themeColor="text1"/>
          <w:sz w:val="24"/>
          <w:szCs w:val="24"/>
          <w:shd w:val="clear" w:color="auto" w:fill="FFFFFF"/>
        </w:rPr>
        <w:t>（</w:t>
      </w:r>
      <w:hyperlink r:id="rId28"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第二条第二款第一目）</w:t>
      </w:r>
    </w:p>
    <w:p w14:paraId="4646A3F2" w14:textId="77777777" w:rsidR="0070340E" w:rsidRPr="0070340E" w:rsidRDefault="0070340E" w:rsidP="0070340E">
      <w:pPr>
        <w:pStyle w:val="4"/>
        <w:spacing w:before="50" w:after="0" w:line="480" w:lineRule="atLeast"/>
        <w:rPr>
          <w:rFonts w:asciiTheme="minorEastAsia" w:eastAsiaTheme="minorEastAsia" w:hAnsiTheme="minorEastAsia"/>
          <w:color w:val="000000" w:themeColor="text1"/>
          <w:sz w:val="24"/>
          <w:szCs w:val="24"/>
        </w:rPr>
      </w:pPr>
      <w:bookmarkStart w:id="27" w:name="_Toc13327889"/>
      <w:r w:rsidRPr="0070340E">
        <w:rPr>
          <w:rFonts w:asciiTheme="minorEastAsia" w:eastAsiaTheme="minorEastAsia" w:hAnsiTheme="minorEastAsia" w:hint="eastAsia"/>
          <w:color w:val="000000" w:themeColor="text1"/>
          <w:sz w:val="24"/>
          <w:szCs w:val="24"/>
        </w:rPr>
        <w:t>（1）加强企业分配股息、红利的扣缴税款管理</w:t>
      </w:r>
      <w:bookmarkEnd w:id="27"/>
    </w:p>
    <w:p w14:paraId="1F0C5E0C" w14:textId="0AC541E9"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重点关注以未分配利润、盈余公积和资产评估增值转增注册资本和股本的征管，堵塞征管漏洞。</w:t>
      </w:r>
    </w:p>
    <w:p w14:paraId="3880B1C0" w14:textId="57127135"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28" w:name="_Hlk95984"/>
      <w:r w:rsidRPr="0070340E">
        <w:rPr>
          <w:rFonts w:asciiTheme="minorEastAsia" w:hAnsiTheme="minorEastAsia" w:hint="eastAsia"/>
          <w:b/>
          <w:bCs/>
          <w:color w:val="000000" w:themeColor="text1"/>
          <w:sz w:val="24"/>
          <w:szCs w:val="24"/>
        </w:rPr>
        <w:t>（</w:t>
      </w:r>
      <w:hyperlink r:id="rId29"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第二条第二款第一项）</w:t>
      </w:r>
    </w:p>
    <w:p w14:paraId="3C2FDFDA" w14:textId="77777777" w:rsidR="0070340E" w:rsidRPr="0070340E" w:rsidRDefault="0070340E" w:rsidP="0070340E">
      <w:pPr>
        <w:pStyle w:val="4"/>
        <w:spacing w:before="50" w:after="0" w:line="480" w:lineRule="atLeast"/>
        <w:rPr>
          <w:rFonts w:asciiTheme="minorEastAsia" w:eastAsiaTheme="minorEastAsia" w:hAnsiTheme="minorEastAsia"/>
          <w:color w:val="000000" w:themeColor="text1"/>
          <w:sz w:val="24"/>
          <w:szCs w:val="24"/>
        </w:rPr>
      </w:pPr>
      <w:bookmarkStart w:id="29" w:name="_Toc13327890"/>
      <w:bookmarkEnd w:id="28"/>
      <w:r w:rsidRPr="0070340E">
        <w:rPr>
          <w:rFonts w:asciiTheme="minorEastAsia" w:eastAsiaTheme="minorEastAsia" w:hAnsiTheme="minorEastAsia" w:hint="eastAsia"/>
          <w:color w:val="000000" w:themeColor="text1"/>
          <w:sz w:val="24"/>
          <w:szCs w:val="24"/>
        </w:rPr>
        <w:t>（</w:t>
      </w:r>
      <w:r w:rsidRPr="0070340E">
        <w:rPr>
          <w:rFonts w:asciiTheme="minorEastAsia" w:eastAsiaTheme="minorEastAsia" w:hAnsiTheme="minorEastAsia"/>
          <w:color w:val="000000" w:themeColor="text1"/>
          <w:sz w:val="24"/>
          <w:szCs w:val="24"/>
        </w:rPr>
        <w:t>2</w:t>
      </w:r>
      <w:r w:rsidRPr="0070340E">
        <w:rPr>
          <w:rFonts w:asciiTheme="minorEastAsia" w:eastAsiaTheme="minorEastAsia" w:hAnsiTheme="minorEastAsia" w:hint="eastAsia"/>
          <w:color w:val="000000" w:themeColor="text1"/>
          <w:sz w:val="24"/>
          <w:szCs w:val="24"/>
        </w:rPr>
        <w:t>）对连续盈利且不分配股息、红利或者核定征收企业所得税的企业</w:t>
      </w:r>
      <w:bookmarkEnd w:id="29"/>
    </w:p>
    <w:p w14:paraId="13AB8484" w14:textId="18AA35FF"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其个人投资者的股息、红利等所得，应实施重点跟踪管理，制定相关征管措施。同时，加强企业注销时个人投资者税收清算管理。</w:t>
      </w:r>
    </w:p>
    <w:p w14:paraId="36077905" w14:textId="5C9F041B"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30" w:name="_Hlk96146"/>
      <w:r w:rsidRPr="0070340E">
        <w:rPr>
          <w:rFonts w:asciiTheme="minorEastAsia" w:hAnsiTheme="minorEastAsia" w:hint="eastAsia"/>
          <w:b/>
          <w:bCs/>
          <w:color w:val="000000" w:themeColor="text1"/>
          <w:sz w:val="24"/>
          <w:szCs w:val="24"/>
        </w:rPr>
        <w:t>（</w:t>
      </w:r>
      <w:hyperlink r:id="rId30"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第二条第二款第三项）</w:t>
      </w:r>
    </w:p>
    <w:p w14:paraId="57BA9014"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31" w:name="_Toc13327891"/>
      <w:bookmarkEnd w:id="26"/>
      <w:bookmarkEnd w:id="30"/>
      <w:r w:rsidRPr="0070340E">
        <w:rPr>
          <w:rFonts w:asciiTheme="minorEastAsia" w:hAnsiTheme="minorEastAsia" w:hint="eastAsia"/>
          <w:color w:val="000000" w:themeColor="text1"/>
          <w:sz w:val="24"/>
          <w:szCs w:val="24"/>
        </w:rPr>
        <w:t>2.加强利息所得征收管理。</w:t>
      </w:r>
      <w:bookmarkEnd w:id="31"/>
    </w:p>
    <w:p w14:paraId="2B36323F"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要通过查阅财务报表相关科目、资产盘查等方式，调查自然人、企业及其他组织向自然人借款及支付利息情况，对其利息所得依法计征个人所得税。</w:t>
      </w:r>
    </w:p>
    <w:p w14:paraId="593272B4" w14:textId="753C43FF"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31"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第二条第二款第二目）</w:t>
      </w:r>
    </w:p>
    <w:p w14:paraId="7F6738BB"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对企业及其他组织向个人借款并支付利息的，应通过核查相关企业所得税前扣除凭证等方式，督导企业或有关组织依法扣缴个人所得税。</w:t>
      </w:r>
    </w:p>
    <w:p w14:paraId="35F859DE" w14:textId="294E52BD"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32"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第二条第二款第四项）</w:t>
      </w:r>
    </w:p>
    <w:p w14:paraId="139C5DE9"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32" w:name="_Toc13327892"/>
      <w:r w:rsidRPr="0070340E">
        <w:rPr>
          <w:rFonts w:asciiTheme="minorEastAsia" w:hAnsiTheme="minorEastAsia" w:hint="eastAsia"/>
          <w:color w:val="000000" w:themeColor="text1"/>
          <w:sz w:val="24"/>
          <w:szCs w:val="24"/>
        </w:rPr>
        <w:lastRenderedPageBreak/>
        <w:t>3.加强个人从法人企业列支消费性支出和从投资企业借款的管理。</w:t>
      </w:r>
      <w:bookmarkEnd w:id="32"/>
    </w:p>
    <w:p w14:paraId="70CB7953" w14:textId="67E8D7B2"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对投资者本人、家庭成员及相关人员的相应</w:t>
      </w:r>
      <w:r w:rsidRPr="00A47959">
        <w:rPr>
          <w:rFonts w:asciiTheme="minorEastAsia" w:hAnsiTheme="minorEastAsia" w:cs="宋体" w:hint="eastAsia"/>
          <w:color w:val="000000" w:themeColor="text1"/>
          <w:kern w:val="0"/>
          <w:sz w:val="24"/>
          <w:szCs w:val="24"/>
        </w:rPr>
        <w:t>所得，要根据</w:t>
      </w:r>
      <w:r w:rsidR="00A47959" w:rsidRPr="00A47959">
        <w:rPr>
          <w:rFonts w:hint="eastAsia"/>
          <w:color w:val="333333"/>
          <w:sz w:val="24"/>
          <w:szCs w:val="24"/>
          <w:shd w:val="clear" w:color="auto" w:fill="FFFFFF"/>
        </w:rPr>
        <w:t>《财政部</w:t>
      </w:r>
      <w:r w:rsidR="00A47959" w:rsidRPr="00A47959">
        <w:rPr>
          <w:rFonts w:hint="eastAsia"/>
          <w:color w:val="333333"/>
          <w:sz w:val="24"/>
          <w:szCs w:val="24"/>
          <w:shd w:val="clear" w:color="auto" w:fill="FFFFFF"/>
        </w:rPr>
        <w:t xml:space="preserve"> </w:t>
      </w:r>
      <w:r w:rsidR="00A47959" w:rsidRPr="00A47959">
        <w:rPr>
          <w:rFonts w:hint="eastAsia"/>
          <w:color w:val="333333"/>
          <w:sz w:val="24"/>
          <w:szCs w:val="24"/>
          <w:shd w:val="clear" w:color="auto" w:fill="FFFFFF"/>
        </w:rPr>
        <w:t>国家税务总局关于规范个人投资者个人所得税征收管理的通知》（</w:t>
      </w:r>
      <w:hyperlink r:id="rId33" w:tgtFrame="_self" w:history="1">
        <w:r w:rsidR="00A47959" w:rsidRPr="00A47959">
          <w:rPr>
            <w:rFonts w:hint="eastAsia"/>
            <w:color w:val="6E6E6E"/>
            <w:sz w:val="24"/>
            <w:szCs w:val="24"/>
            <w:u w:val="single"/>
            <w:shd w:val="clear" w:color="auto" w:fill="FFFFFF"/>
          </w:rPr>
          <w:t>财税</w:t>
        </w:r>
        <w:r w:rsidR="00A47959" w:rsidRPr="00A47959">
          <w:rPr>
            <w:rFonts w:hint="eastAsia"/>
            <w:color w:val="6E6E6E"/>
            <w:sz w:val="24"/>
            <w:szCs w:val="24"/>
            <w:u w:val="single"/>
            <w:shd w:val="clear" w:color="auto" w:fill="FFFFFF"/>
          </w:rPr>
          <w:t>[2003]158</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规定，依</w:t>
      </w:r>
      <w:r w:rsidRPr="0070340E">
        <w:rPr>
          <w:rFonts w:asciiTheme="minorEastAsia" w:hAnsiTheme="minorEastAsia" w:cs="宋体" w:hint="eastAsia"/>
          <w:color w:val="000000" w:themeColor="text1"/>
          <w:kern w:val="0"/>
          <w:sz w:val="24"/>
          <w:szCs w:val="24"/>
        </w:rPr>
        <w:t>照“利息、股息、红利所得”项目计征个人所得税。</w:t>
      </w:r>
    </w:p>
    <w:p w14:paraId="48FA6282" w14:textId="1B10CAA0"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34"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第二条第二款第三目）</w:t>
      </w:r>
    </w:p>
    <w:p w14:paraId="48A1EAB8"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对投资者本人及其家庭成员从法人企业列支消费支出和借款的，应认真开展日常税源管理和检查，对其相关所得依法征税。涉及金额较大的，应核实其费用凭证的真实性、合法性。</w:t>
      </w:r>
    </w:p>
    <w:p w14:paraId="06B6785A" w14:textId="79A7B968"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33" w:name="_Hlk96993"/>
      <w:r w:rsidRPr="0070340E">
        <w:rPr>
          <w:rFonts w:asciiTheme="minorEastAsia" w:hAnsiTheme="minorEastAsia" w:hint="eastAsia"/>
          <w:b/>
          <w:bCs/>
          <w:color w:val="000000" w:themeColor="text1"/>
          <w:sz w:val="24"/>
          <w:szCs w:val="24"/>
        </w:rPr>
        <w:t>（</w:t>
      </w:r>
      <w:hyperlink r:id="rId35"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第二条第二款第二项）</w:t>
      </w:r>
    </w:p>
    <w:p w14:paraId="2133D091"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34" w:name="_Toc13327893"/>
      <w:bookmarkEnd w:id="33"/>
      <w:r w:rsidRPr="0070340E">
        <w:rPr>
          <w:rFonts w:asciiTheme="minorEastAsia" w:eastAsiaTheme="minorEastAsia" w:hAnsiTheme="minorEastAsia" w:hint="eastAsia"/>
          <w:color w:val="000000" w:themeColor="text1"/>
          <w:sz w:val="24"/>
          <w:szCs w:val="24"/>
        </w:rPr>
        <w:t>（三）加强规模较大的个人独资企业、合伙企业和个体工商户的生产、经营所得征收管理</w:t>
      </w:r>
      <w:bookmarkEnd w:id="34"/>
    </w:p>
    <w:p w14:paraId="5BD5032C"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35" w:name="_Toc13327894"/>
      <w:r w:rsidRPr="0070340E">
        <w:rPr>
          <w:rFonts w:asciiTheme="minorEastAsia" w:hAnsiTheme="minorEastAsia" w:hint="eastAsia"/>
          <w:color w:val="000000" w:themeColor="text1"/>
          <w:sz w:val="24"/>
          <w:szCs w:val="24"/>
        </w:rPr>
        <w:t>1.加强建账管理。</w:t>
      </w:r>
      <w:bookmarkEnd w:id="35"/>
    </w:p>
    <w:p w14:paraId="15E7872E" w14:textId="68930445"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主管税务机关应督促纳税人依照法律、行政法规的规定设置账簿。对不能设置账簿的，应按照税收征管法及其实施细则和</w:t>
      </w:r>
      <w:r w:rsidR="00A47959" w:rsidRPr="00A47959">
        <w:rPr>
          <w:rFonts w:hint="eastAsia"/>
          <w:color w:val="333333"/>
          <w:sz w:val="24"/>
          <w:szCs w:val="24"/>
          <w:shd w:val="clear" w:color="auto" w:fill="FFFFFF"/>
        </w:rPr>
        <w:t>《财政部</w:t>
      </w:r>
      <w:r w:rsidR="00A47959" w:rsidRPr="00A47959">
        <w:rPr>
          <w:rFonts w:hint="eastAsia"/>
          <w:color w:val="333333"/>
          <w:sz w:val="24"/>
          <w:szCs w:val="24"/>
          <w:shd w:val="clear" w:color="auto" w:fill="FFFFFF"/>
        </w:rPr>
        <w:t xml:space="preserve"> </w:t>
      </w:r>
      <w:r w:rsidR="00A47959" w:rsidRPr="00A47959">
        <w:rPr>
          <w:rFonts w:hint="eastAsia"/>
          <w:color w:val="333333"/>
          <w:sz w:val="24"/>
          <w:szCs w:val="24"/>
          <w:shd w:val="clear" w:color="auto" w:fill="FFFFFF"/>
        </w:rPr>
        <w:t>国家税务总局关于印发〈关于个人独资企业和合伙企业投资者征收个人所得税的规定〉的通知》（</w:t>
      </w:r>
      <w:hyperlink r:id="rId36" w:tgtFrame="_self" w:history="1">
        <w:r w:rsidR="00A47959" w:rsidRPr="00A47959">
          <w:rPr>
            <w:rFonts w:hint="eastAsia"/>
            <w:color w:val="6E6E6E"/>
            <w:sz w:val="24"/>
            <w:szCs w:val="24"/>
            <w:u w:val="single"/>
            <w:shd w:val="clear" w:color="auto" w:fill="FFFFFF"/>
          </w:rPr>
          <w:t>财税</w:t>
        </w:r>
        <w:r w:rsidR="00A47959" w:rsidRPr="00A47959">
          <w:rPr>
            <w:rFonts w:hint="eastAsia"/>
            <w:color w:val="6E6E6E"/>
            <w:sz w:val="24"/>
            <w:szCs w:val="24"/>
            <w:u w:val="single"/>
            <w:shd w:val="clear" w:color="auto" w:fill="FFFFFF"/>
          </w:rPr>
          <w:t>[2000]91</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A47959">
        <w:rPr>
          <w:rFonts w:asciiTheme="minorEastAsia" w:hAnsiTheme="minorEastAsia" w:cs="宋体" w:hint="eastAsia"/>
          <w:color w:val="000000" w:themeColor="text1"/>
          <w:kern w:val="0"/>
          <w:sz w:val="24"/>
          <w:szCs w:val="24"/>
        </w:rPr>
        <w:t>等有关规定，核定其应税所得率。税务师、</w:t>
      </w:r>
      <w:r w:rsidRPr="0070340E">
        <w:rPr>
          <w:rFonts w:asciiTheme="minorEastAsia" w:hAnsiTheme="minorEastAsia" w:cs="宋体" w:hint="eastAsia"/>
          <w:color w:val="000000" w:themeColor="text1"/>
          <w:kern w:val="0"/>
          <w:sz w:val="24"/>
          <w:szCs w:val="24"/>
        </w:rPr>
        <w:t>会计师、律师、资产评估和房地产估价等鉴证类中介机构不得实行核定征收个人所得税。</w:t>
      </w:r>
    </w:p>
    <w:p w14:paraId="6E399B2B" w14:textId="3F8E1D39"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6" w:name="_Hlk94914"/>
      <w:r w:rsidRPr="0070340E">
        <w:rPr>
          <w:rFonts w:asciiTheme="minorEastAsia" w:hAnsiTheme="minorEastAsia" w:hint="eastAsia"/>
          <w:color w:val="000000" w:themeColor="text1"/>
          <w:sz w:val="24"/>
          <w:szCs w:val="24"/>
          <w:shd w:val="clear" w:color="auto" w:fill="FFFFFF"/>
        </w:rPr>
        <w:t>（</w:t>
      </w:r>
      <w:hyperlink r:id="rId37"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第二条第三款第一目）</w:t>
      </w:r>
    </w:p>
    <w:p w14:paraId="3302A7F3"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重点加强规模较大的个人独资、合伙企业和个体工商户的生产经营所得的查账征收管理；难以实行查账征收的，依法严格实行核定征收。对律师事务所、会计师事务所、税务师事务所、资产评估和房地产估价等鉴证类中介机构，不得实行核定征收个人所得税。</w:t>
      </w:r>
    </w:p>
    <w:p w14:paraId="07F1DB57" w14:textId="13034B32"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38"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第二条第三款第一项）</w:t>
      </w:r>
    </w:p>
    <w:p w14:paraId="647845B6"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lastRenderedPageBreak/>
        <w:t>对个人独资企业和合伙企业从事股权（票）、期货、基金、债券、外汇、贵重金属、资源开采权及其他投资品交易取得的所得，应全部纳入生产经营所得，依法征收个人所得税。</w:t>
      </w:r>
    </w:p>
    <w:p w14:paraId="75173E4A" w14:textId="74174CFC"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39"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第二条第三款第二项）</w:t>
      </w:r>
    </w:p>
    <w:p w14:paraId="17BDA1A9"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37" w:name="_Toc13327895"/>
      <w:bookmarkEnd w:id="36"/>
      <w:r w:rsidRPr="0070340E">
        <w:rPr>
          <w:rFonts w:asciiTheme="minorEastAsia" w:hAnsiTheme="minorEastAsia" w:hint="eastAsia"/>
          <w:color w:val="000000" w:themeColor="text1"/>
          <w:sz w:val="24"/>
          <w:szCs w:val="24"/>
        </w:rPr>
        <w:t>2.加强个人消费支出与非法人企业生产经营支出管理。</w:t>
      </w:r>
      <w:bookmarkEnd w:id="37"/>
    </w:p>
    <w:p w14:paraId="60EF7EC6" w14:textId="72563416"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对企业资金用于投资者本人、家庭成员及其相关人员消费性和财产性支出的部分，应按照</w:t>
      </w:r>
      <w:r w:rsidR="00A47959" w:rsidRPr="00A47959">
        <w:rPr>
          <w:rFonts w:hint="eastAsia"/>
          <w:color w:val="333333"/>
          <w:sz w:val="24"/>
          <w:szCs w:val="24"/>
          <w:shd w:val="clear" w:color="auto" w:fill="FFFFFF"/>
        </w:rPr>
        <w:t>《财政部</w:t>
      </w:r>
      <w:r w:rsidR="00A47959" w:rsidRPr="00A47959">
        <w:rPr>
          <w:rFonts w:hint="eastAsia"/>
          <w:color w:val="333333"/>
          <w:sz w:val="24"/>
          <w:szCs w:val="24"/>
          <w:shd w:val="clear" w:color="auto" w:fill="FFFFFF"/>
        </w:rPr>
        <w:t xml:space="preserve"> </w:t>
      </w:r>
      <w:r w:rsidR="00A47959" w:rsidRPr="00A47959">
        <w:rPr>
          <w:rFonts w:hint="eastAsia"/>
          <w:color w:val="333333"/>
          <w:sz w:val="24"/>
          <w:szCs w:val="24"/>
          <w:shd w:val="clear" w:color="auto" w:fill="FFFFFF"/>
        </w:rPr>
        <w:t>国家税务总局关于规范个人投资者个人所得税征收管理的通知》（</w:t>
      </w:r>
      <w:hyperlink r:id="rId40" w:tgtFrame="_self" w:history="1">
        <w:r w:rsidR="00A47959" w:rsidRPr="00A47959">
          <w:rPr>
            <w:rFonts w:hint="eastAsia"/>
            <w:color w:val="6E6E6E"/>
            <w:sz w:val="24"/>
            <w:szCs w:val="24"/>
            <w:u w:val="single"/>
            <w:shd w:val="clear" w:color="auto" w:fill="FFFFFF"/>
          </w:rPr>
          <w:t>财税</w:t>
        </w:r>
        <w:r w:rsidR="00A47959" w:rsidRPr="00A47959">
          <w:rPr>
            <w:rFonts w:hint="eastAsia"/>
            <w:color w:val="6E6E6E"/>
            <w:sz w:val="24"/>
            <w:szCs w:val="24"/>
            <w:u w:val="single"/>
            <w:shd w:val="clear" w:color="auto" w:fill="FFFFFF"/>
          </w:rPr>
          <w:t>[2003]158</w:t>
        </w:r>
        <w:r w:rsidR="00A47959" w:rsidRPr="00A47959">
          <w:rPr>
            <w:rFonts w:hint="eastAsia"/>
            <w:color w:val="6E6E6E"/>
            <w:sz w:val="24"/>
            <w:szCs w:val="24"/>
            <w:u w:val="single"/>
            <w:shd w:val="clear" w:color="auto" w:fill="FFFFFF"/>
          </w:rPr>
          <w:t>号</w:t>
        </w:r>
      </w:hyperlink>
      <w:r w:rsidR="00A47959" w:rsidRPr="00A47959">
        <w:rPr>
          <w:rFonts w:hint="eastAsia"/>
          <w:color w:val="333333"/>
          <w:sz w:val="24"/>
          <w:szCs w:val="24"/>
          <w:shd w:val="clear" w:color="auto" w:fill="FFFFFF"/>
        </w:rPr>
        <w:t>）</w:t>
      </w:r>
      <w:r w:rsidRPr="0070340E">
        <w:rPr>
          <w:rFonts w:asciiTheme="minorEastAsia" w:hAnsiTheme="minorEastAsia" w:cs="宋体" w:hint="eastAsia"/>
          <w:color w:val="000000" w:themeColor="text1"/>
          <w:kern w:val="0"/>
          <w:sz w:val="24"/>
          <w:szCs w:val="24"/>
        </w:rPr>
        <w:t>等有关规定，依照“个体工商户的生产、经营所得”项目计征个人所得税。</w:t>
      </w:r>
    </w:p>
    <w:p w14:paraId="5EDF5C7A" w14:textId="27343730"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41"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第二条第三款第三目）</w:t>
      </w:r>
    </w:p>
    <w:p w14:paraId="39EB9966"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将个人独资企业、合伙企业和个体工商户的资金用于投资者本人、家庭成员及其相关人员消费性支出和财产性支出的，严格按照相关规定计征个人所得税。</w:t>
      </w:r>
    </w:p>
    <w:p w14:paraId="1E68B92B" w14:textId="46711F1E" w:rsidR="0070340E" w:rsidRPr="0070340E" w:rsidRDefault="0070340E" w:rsidP="0070340E">
      <w:pPr>
        <w:widowControl/>
        <w:spacing w:beforeLines="50" w:before="156" w:line="480" w:lineRule="atLeast"/>
        <w:ind w:firstLineChars="200" w:firstLine="480"/>
        <w:jc w:val="right"/>
        <w:rPr>
          <w:rFonts w:asciiTheme="minorEastAsia" w:hAnsiTheme="minorEastAsia"/>
          <w:color w:val="000000" w:themeColor="text1"/>
          <w:sz w:val="24"/>
          <w:szCs w:val="24"/>
        </w:rPr>
      </w:pPr>
      <w:r w:rsidRPr="0070340E">
        <w:rPr>
          <w:rFonts w:asciiTheme="minorEastAsia" w:hAnsiTheme="minorEastAsia" w:hint="eastAsia"/>
          <w:color w:val="000000" w:themeColor="text1"/>
          <w:sz w:val="24"/>
          <w:szCs w:val="24"/>
        </w:rPr>
        <w:t>（</w:t>
      </w:r>
      <w:hyperlink r:id="rId42"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rPr>
        <w:t>第二条第三款第三项）</w:t>
      </w:r>
    </w:p>
    <w:p w14:paraId="32947BAA" w14:textId="77777777" w:rsidR="0070340E" w:rsidRPr="0070340E" w:rsidRDefault="0070340E" w:rsidP="0070340E">
      <w:pPr>
        <w:pStyle w:val="3"/>
        <w:spacing w:before="50" w:after="0" w:line="480" w:lineRule="atLeast"/>
        <w:rPr>
          <w:rFonts w:asciiTheme="minorEastAsia" w:hAnsiTheme="minorEastAsia"/>
          <w:color w:val="000000" w:themeColor="text1"/>
          <w:sz w:val="24"/>
          <w:szCs w:val="24"/>
        </w:rPr>
      </w:pPr>
      <w:bookmarkStart w:id="38" w:name="_Toc13327896"/>
      <w:r w:rsidRPr="0070340E">
        <w:rPr>
          <w:rFonts w:asciiTheme="minorEastAsia" w:hAnsiTheme="minorEastAsia" w:hint="eastAsia"/>
          <w:color w:val="000000" w:themeColor="text1"/>
          <w:sz w:val="24"/>
          <w:szCs w:val="24"/>
        </w:rPr>
        <w:t>3.加强非法人企业注销登记管理。</w:t>
      </w:r>
      <w:bookmarkEnd w:id="38"/>
    </w:p>
    <w:p w14:paraId="055908D2"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企业投资者在注销工商登记之前，应向主管税务机关结清有关税务事宜，未纳税所得应依法征收个人所得税。</w:t>
      </w:r>
    </w:p>
    <w:p w14:paraId="43B40E85" w14:textId="5DCE67D7"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color w:val="000000" w:themeColor="text1"/>
          <w:sz w:val="24"/>
          <w:szCs w:val="24"/>
          <w:shd w:val="clear" w:color="auto" w:fill="FFFFFF"/>
        </w:rPr>
        <w:t>（</w:t>
      </w:r>
      <w:hyperlink r:id="rId43"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第二条第三款第二目）</w:t>
      </w:r>
    </w:p>
    <w:p w14:paraId="6D9DE0ED"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加强个人独资、合伙企业和个体工商户注销登记管理，在其注销登记前，主管税务机关应主动采取有效措施处理好有关税务事项。</w:t>
      </w:r>
    </w:p>
    <w:p w14:paraId="5CCAD16B" w14:textId="10A5D516"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39" w:name="_Hlk97508"/>
      <w:r w:rsidRPr="0070340E">
        <w:rPr>
          <w:rFonts w:asciiTheme="minorEastAsia" w:hAnsiTheme="minorEastAsia" w:hint="eastAsia"/>
          <w:b/>
          <w:bCs/>
          <w:color w:val="000000" w:themeColor="text1"/>
          <w:sz w:val="24"/>
          <w:szCs w:val="24"/>
        </w:rPr>
        <w:t>（</w:t>
      </w:r>
      <w:hyperlink r:id="rId44"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第二条第三款第四项）</w:t>
      </w:r>
    </w:p>
    <w:p w14:paraId="6BD0D04F"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40" w:name="_Toc13327897"/>
      <w:bookmarkEnd w:id="39"/>
      <w:r w:rsidRPr="0070340E">
        <w:rPr>
          <w:rFonts w:asciiTheme="minorEastAsia" w:hAnsiTheme="minorEastAsia" w:hint="eastAsia"/>
          <w:color w:val="000000" w:themeColor="text1"/>
          <w:sz w:val="24"/>
          <w:szCs w:val="24"/>
        </w:rPr>
        <w:t>三、继续加强高收入行业和人群的个人所得税征管</w:t>
      </w:r>
      <w:bookmarkEnd w:id="40"/>
    </w:p>
    <w:p w14:paraId="44D449C1" w14:textId="4473756C"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41" w:name="_Toc13327898"/>
      <w:r w:rsidRPr="0070340E">
        <w:rPr>
          <w:rFonts w:asciiTheme="minorEastAsia" w:eastAsiaTheme="minorEastAsia" w:hAnsiTheme="minorEastAsia" w:hint="eastAsia"/>
          <w:color w:val="000000" w:themeColor="text1"/>
          <w:sz w:val="24"/>
          <w:szCs w:val="24"/>
        </w:rPr>
        <w:t>（一）加强以非劳动所得为主要收入来源人群的征管</w:t>
      </w:r>
      <w:bookmarkEnd w:id="41"/>
    </w:p>
    <w:p w14:paraId="1F1E500D"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密切关注持有公司大量股权、取得大额投资收益以及从事房地产、矿产资源投资、私募基金、信托投资等活动的高收入人群，实行重点税源管理。</w:t>
      </w:r>
    </w:p>
    <w:p w14:paraId="68F1BB84" w14:textId="7300B4AB"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42" w:name="_Hlk97528"/>
      <w:r w:rsidRPr="0070340E">
        <w:rPr>
          <w:rFonts w:asciiTheme="minorEastAsia" w:hAnsiTheme="minorEastAsia" w:hint="eastAsia"/>
          <w:b/>
          <w:bCs/>
          <w:color w:val="000000" w:themeColor="text1"/>
          <w:sz w:val="24"/>
          <w:szCs w:val="24"/>
        </w:rPr>
        <w:lastRenderedPageBreak/>
        <w:t>（</w:t>
      </w:r>
      <w:hyperlink r:id="rId45"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第三条第一款）</w:t>
      </w:r>
    </w:p>
    <w:p w14:paraId="1CB3AB05" w14:textId="1C6C8654"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43" w:name="_Toc13327899"/>
      <w:bookmarkEnd w:id="42"/>
      <w:r w:rsidRPr="0070340E">
        <w:rPr>
          <w:rFonts w:asciiTheme="minorEastAsia" w:eastAsiaTheme="minorEastAsia" w:hAnsiTheme="minorEastAsia" w:hint="eastAsia"/>
          <w:color w:val="000000" w:themeColor="text1"/>
          <w:sz w:val="24"/>
          <w:szCs w:val="24"/>
        </w:rPr>
        <w:t>（二）做好高收入行业工薪所得征管工作</w:t>
      </w:r>
      <w:bookmarkEnd w:id="43"/>
    </w:p>
    <w:p w14:paraId="33B4A028"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1.深化高收入行业工薪所得扣缴税款管理。重点关注高收入行业企业的中高层管理人员各项工资、薪金所得，尤其是各类奖金、补贴、股票期权和限制性股票等激励所得。</w:t>
      </w:r>
    </w:p>
    <w:p w14:paraId="3370E0FE" w14:textId="445AD737"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44" w:name="_Hlk97542"/>
      <w:r w:rsidRPr="0070340E">
        <w:rPr>
          <w:rFonts w:asciiTheme="minorEastAsia" w:hAnsiTheme="minorEastAsia" w:hint="eastAsia"/>
          <w:b/>
          <w:bCs/>
          <w:color w:val="000000" w:themeColor="text1"/>
          <w:sz w:val="24"/>
          <w:szCs w:val="24"/>
        </w:rPr>
        <w:t>（</w:t>
      </w:r>
      <w:hyperlink r:id="rId46"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第三条第二款第一项）</w:t>
      </w:r>
    </w:p>
    <w:bookmarkEnd w:id="44"/>
    <w:p w14:paraId="0C744E89"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2.加强高收入行业企业扣缴个人所得税的工资、薪金所得总额与企业所得税申报表中工资费用支出总额的比对，强化企业所得税和个人所得税的联动管理。</w:t>
      </w:r>
    </w:p>
    <w:p w14:paraId="64F5A493" w14:textId="036DF67C"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47"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第三条第二款第二项）</w:t>
      </w:r>
    </w:p>
    <w:p w14:paraId="3EB78E31"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3.对以各种发票冲抵个人收入，从而偷逃个人所得税的行为，严格按照税收征管法的规定予以处罚。</w:t>
      </w:r>
    </w:p>
    <w:p w14:paraId="22D6D222" w14:textId="6F1DD986"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48"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第三条第二款第三项）</w:t>
      </w:r>
    </w:p>
    <w:p w14:paraId="26481E25"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45" w:name="_Toc13327900"/>
      <w:r w:rsidRPr="0070340E">
        <w:rPr>
          <w:rFonts w:asciiTheme="minorEastAsia" w:eastAsiaTheme="minorEastAsia" w:hAnsiTheme="minorEastAsia" w:hint="eastAsia"/>
          <w:color w:val="000000" w:themeColor="text1"/>
          <w:sz w:val="24"/>
          <w:szCs w:val="24"/>
        </w:rPr>
        <w:t>（三）对纳税人从两处或两处以上取得工资、薪金所得，应通过明细申报数据等信息汇总比对，加强纳税人自行申报纳税管理。</w:t>
      </w:r>
      <w:bookmarkEnd w:id="45"/>
    </w:p>
    <w:p w14:paraId="37B94955" w14:textId="0679FABE"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bookmarkStart w:id="46" w:name="_Hlk54030191"/>
      <w:r w:rsidR="00A47959">
        <w:rPr>
          <w:rFonts w:asciiTheme="minorEastAsia" w:hAnsiTheme="minorEastAsia"/>
          <w:sz w:val="24"/>
          <w:szCs w:val="24"/>
        </w:rPr>
        <w:fldChar w:fldCharType="begin"/>
      </w:r>
      <w:r w:rsidR="00A47959">
        <w:rPr>
          <w:rFonts w:asciiTheme="minorEastAsia" w:hAnsiTheme="minorEastAsia"/>
          <w:sz w:val="24"/>
          <w:szCs w:val="24"/>
        </w:rPr>
        <w:instrText xml:space="preserve"> HYPERLINK "http://ssfb86.com/index/News/detail/newsid/1764.html" </w:instrText>
      </w:r>
      <w:r w:rsidR="00A47959">
        <w:rPr>
          <w:rFonts w:asciiTheme="minorEastAsia" w:hAnsiTheme="minorEastAsia"/>
          <w:sz w:val="24"/>
          <w:szCs w:val="24"/>
        </w:rPr>
      </w:r>
      <w:r w:rsidR="00A47959">
        <w:rPr>
          <w:rFonts w:asciiTheme="minorEastAsia" w:hAnsiTheme="minorEastAsia"/>
          <w:sz w:val="24"/>
          <w:szCs w:val="24"/>
        </w:rPr>
        <w:fldChar w:fldCharType="separate"/>
      </w:r>
      <w:r w:rsidR="00A47959" w:rsidRPr="00A47959">
        <w:rPr>
          <w:rStyle w:val="a8"/>
          <w:rFonts w:asciiTheme="minorEastAsia" w:hAnsiTheme="minorEastAsia"/>
          <w:sz w:val="24"/>
          <w:szCs w:val="24"/>
        </w:rPr>
        <w:t>国税发〔2011〕50号</w:t>
      </w:r>
      <w:r w:rsidR="00A47959">
        <w:rPr>
          <w:rFonts w:asciiTheme="minorEastAsia" w:hAnsiTheme="minorEastAsia"/>
          <w:sz w:val="24"/>
          <w:szCs w:val="24"/>
        </w:rPr>
        <w:fldChar w:fldCharType="end"/>
      </w:r>
      <w:bookmarkEnd w:id="46"/>
      <w:r w:rsidRPr="0070340E">
        <w:rPr>
          <w:rFonts w:asciiTheme="minorEastAsia" w:hAnsiTheme="minorEastAsia" w:hint="eastAsia"/>
          <w:b/>
          <w:bCs/>
          <w:color w:val="000000" w:themeColor="text1"/>
          <w:sz w:val="24"/>
          <w:szCs w:val="24"/>
        </w:rPr>
        <w:t>第三条第三款）</w:t>
      </w:r>
    </w:p>
    <w:p w14:paraId="5A3F1E30" w14:textId="6B2EAB45"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47" w:name="_Toc13327901"/>
      <w:r w:rsidRPr="0070340E">
        <w:rPr>
          <w:rFonts w:asciiTheme="minorEastAsia" w:eastAsiaTheme="minorEastAsia" w:hAnsiTheme="minorEastAsia" w:hint="eastAsia"/>
          <w:color w:val="000000" w:themeColor="text1"/>
          <w:sz w:val="24"/>
          <w:szCs w:val="24"/>
        </w:rPr>
        <w:t>（四）完善数额较大的劳务报酬所得征管</w:t>
      </w:r>
      <w:bookmarkEnd w:id="47"/>
    </w:p>
    <w:p w14:paraId="42760F3F"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各地税务机关要与有关部门密切合作，及时获取相关劳务报酬支付信息，切实加强对各类劳务报酬，特别是一些报酬支付较高项目（如演艺、演讲、咨询、理财、专兼职培训等）的个人所得税管理，督促扣缴义务人依法履行扣缴义务。</w:t>
      </w:r>
    </w:p>
    <w:p w14:paraId="4633CEBC" w14:textId="6789C6E3"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48" w:name="_Hlk94943"/>
      <w:r w:rsidRPr="0070340E">
        <w:rPr>
          <w:rFonts w:asciiTheme="minorEastAsia" w:hAnsiTheme="minorEastAsia" w:hint="eastAsia"/>
          <w:color w:val="000000" w:themeColor="text1"/>
          <w:sz w:val="24"/>
          <w:szCs w:val="24"/>
          <w:shd w:val="clear" w:color="auto" w:fill="FFFFFF"/>
        </w:rPr>
        <w:t>（</w:t>
      </w:r>
      <w:hyperlink r:id="rId49"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第二条第四款第一目）</w:t>
      </w:r>
    </w:p>
    <w:bookmarkEnd w:id="48"/>
    <w:p w14:paraId="4C8EDCE2"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对高收入行业的企业，要汇总全员全额明细申报数据中工资、薪金所得总额，与企业所得税申报表中工资费用支出总额比对，规范企业如实申报和扣缴个人所得税。</w:t>
      </w:r>
    </w:p>
    <w:p w14:paraId="1FBCBB19" w14:textId="1934E864"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lastRenderedPageBreak/>
        <w:t>（</w:t>
      </w:r>
      <w:hyperlink r:id="rId50"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第二条第四款第二目）</w:t>
      </w:r>
    </w:p>
    <w:p w14:paraId="26625E43"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1.督促扣缴义务人依法履行扣缴义务，与有关部门密切合作，及时获取相关劳务报酬支付信息，重点加强数额较大劳务报酬所得的征管。</w:t>
      </w:r>
    </w:p>
    <w:p w14:paraId="26C70250" w14:textId="63F3B14C"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51"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第三条第四款第一项）</w:t>
      </w:r>
    </w:p>
    <w:p w14:paraId="3BB085F6"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2.加强对个人从事影视表演、广告拍摄及形象代言等获取所得的源泉控管，重点做好相关人员通过设立艺人工作室、劳务公司及其他形式的企业或组织取得演出收入的所得税征管工作。</w:t>
      </w:r>
    </w:p>
    <w:p w14:paraId="7E101278" w14:textId="569719C8"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49" w:name="_Hlk97609"/>
      <w:r w:rsidRPr="0070340E">
        <w:rPr>
          <w:rFonts w:asciiTheme="minorEastAsia" w:hAnsiTheme="minorEastAsia" w:hint="eastAsia"/>
          <w:b/>
          <w:bCs/>
          <w:color w:val="000000" w:themeColor="text1"/>
          <w:sz w:val="24"/>
          <w:szCs w:val="24"/>
        </w:rPr>
        <w:t>（</w:t>
      </w:r>
      <w:hyperlink r:id="rId52"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第三条第四款第二项）</w:t>
      </w:r>
    </w:p>
    <w:p w14:paraId="49A17935" w14:textId="786D6C60"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50" w:name="_Toc13327902"/>
      <w:bookmarkEnd w:id="49"/>
      <w:r w:rsidRPr="0070340E">
        <w:rPr>
          <w:rFonts w:asciiTheme="minorEastAsia" w:eastAsiaTheme="minorEastAsia" w:hAnsiTheme="minorEastAsia" w:hint="eastAsia"/>
          <w:color w:val="000000" w:themeColor="text1"/>
          <w:sz w:val="24"/>
          <w:szCs w:val="24"/>
        </w:rPr>
        <w:t>（五）加强高收入外籍个人取得所得的征管</w:t>
      </w:r>
      <w:bookmarkEnd w:id="50"/>
    </w:p>
    <w:p w14:paraId="52B3CA95"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要积极与公安出入境管理部门协调配合，掌握外籍人员出入境时间及相关信息，为实施税收管理和离境清税等提供依据；积极与银行及外汇管理部门协调配合，加强对外支付税务证明管理，把住资金转移关口。各级国税局、地税局要密切配合，建立外籍个人管理档案，掌握不同国家外派人员的薪酬标准，重点加强来源于中国境内、由境外机构支付所得的管理。</w:t>
      </w:r>
    </w:p>
    <w:p w14:paraId="566F9849" w14:textId="5E32C1D0"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53"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第二条第五款）</w:t>
      </w:r>
    </w:p>
    <w:p w14:paraId="1232006A"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进一步建立和充实外籍个人管理档案，掌握不同国家、不同行业、不同职位的薪酬标准，加强来源于中国境内、由境外机构支付所得的管理。充分利用税收情报交换和对外支付税务证明审核等信息，加强在中国境内无住所但居住超过5年的个人境外所得税收征管。</w:t>
      </w:r>
    </w:p>
    <w:p w14:paraId="23469875" w14:textId="53942791"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54"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第三条第五款第一项）</w:t>
      </w:r>
    </w:p>
    <w:p w14:paraId="665391F3"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2.加强外籍个人提供非独立劳务取得所得的征管，抓好对由常设机构或固定基地负担外籍个人报酬的监管，防范税收协定滥用。</w:t>
      </w:r>
    </w:p>
    <w:p w14:paraId="2F130220" w14:textId="359750A8"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51" w:name="_Hlk97958"/>
      <w:r w:rsidRPr="0070340E">
        <w:rPr>
          <w:rFonts w:asciiTheme="minorEastAsia" w:hAnsiTheme="minorEastAsia" w:hint="eastAsia"/>
          <w:b/>
          <w:bCs/>
          <w:color w:val="000000" w:themeColor="text1"/>
          <w:sz w:val="24"/>
          <w:szCs w:val="24"/>
        </w:rPr>
        <w:t>（</w:t>
      </w:r>
      <w:hyperlink r:id="rId55"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第三条第五款第二项）</w:t>
      </w:r>
    </w:p>
    <w:p w14:paraId="07456038"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52" w:name="_Toc13327903"/>
      <w:bookmarkEnd w:id="51"/>
      <w:r w:rsidRPr="0070340E">
        <w:rPr>
          <w:rFonts w:asciiTheme="minorEastAsia" w:hAnsiTheme="minorEastAsia" w:hint="eastAsia"/>
          <w:color w:val="000000" w:themeColor="text1"/>
          <w:sz w:val="24"/>
          <w:szCs w:val="24"/>
        </w:rPr>
        <w:lastRenderedPageBreak/>
        <w:t>四、建立健全高收入者应税收入监控体系</w:t>
      </w:r>
      <w:bookmarkEnd w:id="52"/>
    </w:p>
    <w:p w14:paraId="0B88E89D"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加强税务机关内部和外部涉税信息的获取与整合应用。通过各类涉税信息的分析、比对，掌握高收入者经济活动和税源分布特点、收入获取规律等情况，有针对性地加强高收入者个人所得税征管。</w:t>
      </w:r>
    </w:p>
    <w:p w14:paraId="1E507F37" w14:textId="5AAB868C"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53" w:name="_Toc13327904"/>
      <w:r w:rsidRPr="0070340E">
        <w:rPr>
          <w:rFonts w:asciiTheme="minorEastAsia" w:eastAsiaTheme="minorEastAsia" w:hAnsiTheme="minorEastAsia" w:hint="eastAsia"/>
          <w:color w:val="000000" w:themeColor="text1"/>
          <w:sz w:val="24"/>
          <w:szCs w:val="24"/>
        </w:rPr>
        <w:t>（一）强化税源管理基础</w:t>
      </w:r>
      <w:bookmarkEnd w:id="53"/>
    </w:p>
    <w:p w14:paraId="112D32F5"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1.按照税务总局的统一部署和要求，通过推广应用个人所得税管理信息系统等手段，加强扣缴义务人全员全额扣缴明细申报管理，建立健全个人纳税档案。</w:t>
      </w:r>
    </w:p>
    <w:p w14:paraId="0E08898B" w14:textId="51B9AECD"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54" w:name="_Hlk97974"/>
      <w:r w:rsidRPr="0070340E">
        <w:rPr>
          <w:rFonts w:asciiTheme="minorEastAsia" w:hAnsiTheme="minorEastAsia" w:hint="eastAsia"/>
          <w:b/>
          <w:bCs/>
          <w:color w:val="000000" w:themeColor="text1"/>
          <w:sz w:val="24"/>
          <w:szCs w:val="24"/>
        </w:rPr>
        <w:t>（</w:t>
      </w:r>
      <w:hyperlink r:id="rId56"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第四条第一款第一项）</w:t>
      </w:r>
    </w:p>
    <w:bookmarkEnd w:id="54"/>
    <w:p w14:paraId="7891573C"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2.推进年所得12万元以上纳税人自行纳税申报常态化管理，不断提高申报数据质量，加强申报补缴税款管理。</w:t>
      </w:r>
    </w:p>
    <w:p w14:paraId="7ACC8C68" w14:textId="65AF239D"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57"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第四条第一款第二项）</w:t>
      </w:r>
    </w:p>
    <w:p w14:paraId="14337C7A"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3.逐步建立健全自行纳税申报和全员全额扣缴申报信息交叉稽核机制，完善高收入者税源管理措施。</w:t>
      </w:r>
    </w:p>
    <w:p w14:paraId="163B1031" w14:textId="200FA641"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58"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第四条第一款第三项）</w:t>
      </w:r>
    </w:p>
    <w:p w14:paraId="72E8E04B"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55" w:name="_Toc13327905"/>
      <w:r w:rsidRPr="0070340E">
        <w:rPr>
          <w:rFonts w:asciiTheme="minorEastAsia" w:eastAsiaTheme="minorEastAsia" w:hAnsiTheme="minorEastAsia" w:hint="eastAsia"/>
          <w:color w:val="000000" w:themeColor="text1"/>
          <w:sz w:val="24"/>
          <w:szCs w:val="24"/>
        </w:rPr>
        <w:t>（二）建立协税护税机制</w:t>
      </w:r>
      <w:bookmarkEnd w:id="55"/>
    </w:p>
    <w:p w14:paraId="6AF19BCC"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1.根据税收征管法的规定，加强税务机关与公安、工商、银行、证券、房管、外汇管理、人力资源和社会保障等相关部门与机构的协作，共享涉税信息，完善配套措施。</w:t>
      </w:r>
    </w:p>
    <w:p w14:paraId="51F2D95E" w14:textId="6078A62A"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59"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第四条第二款第一项）</w:t>
      </w:r>
    </w:p>
    <w:p w14:paraId="6C89D984"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2.积极争取地方政府的支持，建立健全政府牵头的涉税信息共享机制，明确相关部门协税护税的责任和义务。</w:t>
      </w:r>
    </w:p>
    <w:p w14:paraId="7F6A8C25" w14:textId="3B0FF49A"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bookmarkStart w:id="56" w:name="_Hlk98140"/>
      <w:r w:rsidRPr="0070340E">
        <w:rPr>
          <w:rFonts w:asciiTheme="minorEastAsia" w:hAnsiTheme="minorEastAsia" w:hint="eastAsia"/>
          <w:b/>
          <w:bCs/>
          <w:color w:val="000000" w:themeColor="text1"/>
          <w:sz w:val="24"/>
          <w:szCs w:val="24"/>
        </w:rPr>
        <w:t>（</w:t>
      </w:r>
      <w:hyperlink r:id="rId60"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第四条第二款第二项）</w:t>
      </w:r>
    </w:p>
    <w:p w14:paraId="358F5690"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57" w:name="_Toc13327906"/>
      <w:bookmarkEnd w:id="56"/>
      <w:r w:rsidRPr="0070340E">
        <w:rPr>
          <w:rFonts w:asciiTheme="minorEastAsia" w:hAnsiTheme="minorEastAsia" w:hint="eastAsia"/>
          <w:color w:val="000000" w:themeColor="text1"/>
          <w:sz w:val="24"/>
          <w:szCs w:val="24"/>
        </w:rPr>
        <w:lastRenderedPageBreak/>
        <w:t>五、扎实开展高收入者个人所得税纳税评估和专项检查</w:t>
      </w:r>
      <w:bookmarkEnd w:id="57"/>
    </w:p>
    <w:p w14:paraId="56F8942C" w14:textId="5498A268"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58" w:name="_Toc13327907"/>
      <w:r w:rsidRPr="0070340E">
        <w:rPr>
          <w:rFonts w:asciiTheme="minorEastAsia" w:eastAsiaTheme="minorEastAsia" w:hAnsiTheme="minorEastAsia" w:hint="eastAsia"/>
          <w:color w:val="000000" w:themeColor="text1"/>
          <w:sz w:val="24"/>
          <w:szCs w:val="24"/>
        </w:rPr>
        <w:t>（一）切实加强日常税源管理和评估</w:t>
      </w:r>
      <w:bookmarkEnd w:id="58"/>
    </w:p>
    <w:p w14:paraId="19594F3A"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各地税务机关要将高收入者个人所得税纳税评估作为日常税收管理的重要内容，充分利用全员全额扣缴明细申报数据、自行纳税申报数据和从外部门获取的信息，科学设定评估指标，创新评估方法，建立高收入者纳税评估体系。对纳税评估发现的疑点，要进行跟踪核实、约谈和调查，督促纳税人自行补正申报、补缴税款。发现纳税人有税收违法行为嫌疑的，要及时移交税务稽查部门立案检查。</w:t>
      </w:r>
    </w:p>
    <w:p w14:paraId="1241257C" w14:textId="71C18DDC"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9" w:name="_Hlk94981"/>
      <w:r w:rsidRPr="0070340E">
        <w:rPr>
          <w:rFonts w:asciiTheme="minorEastAsia" w:hAnsiTheme="minorEastAsia" w:hint="eastAsia"/>
          <w:color w:val="000000" w:themeColor="text1"/>
          <w:sz w:val="24"/>
          <w:szCs w:val="24"/>
          <w:shd w:val="clear" w:color="auto" w:fill="FFFFFF"/>
        </w:rPr>
        <w:t>（</w:t>
      </w:r>
      <w:hyperlink r:id="rId61"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第三条第一款）</w:t>
      </w:r>
    </w:p>
    <w:bookmarkEnd w:id="59"/>
    <w:p w14:paraId="6847CF79"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坚持开展高收入者个人所得税日常税源管理，充分利用相关信息，科学设定评估指标，创新评估方法，积极开展纳税评估。对纳税评估发现的疑点，应进行跟踪核查、约谈；发现纳税人涉嫌税收违法行为的，应及时移交稽查部门立案检查。</w:t>
      </w:r>
    </w:p>
    <w:p w14:paraId="25EF5576" w14:textId="744D2428"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62"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第五条第二款）</w:t>
      </w:r>
    </w:p>
    <w:p w14:paraId="69AE570C" w14:textId="77777777" w:rsidR="0070340E" w:rsidRPr="0070340E" w:rsidRDefault="0070340E" w:rsidP="0070340E">
      <w:pPr>
        <w:pStyle w:val="2"/>
        <w:spacing w:before="50" w:after="0" w:line="480" w:lineRule="atLeast"/>
        <w:rPr>
          <w:rFonts w:asciiTheme="minorEastAsia" w:eastAsiaTheme="minorEastAsia" w:hAnsiTheme="minorEastAsia"/>
          <w:color w:val="000000" w:themeColor="text1"/>
          <w:sz w:val="24"/>
          <w:szCs w:val="24"/>
        </w:rPr>
      </w:pPr>
      <w:bookmarkStart w:id="60" w:name="_Toc13327908"/>
      <w:r w:rsidRPr="0070340E">
        <w:rPr>
          <w:rFonts w:asciiTheme="minorEastAsia" w:eastAsiaTheme="minorEastAsia" w:hAnsiTheme="minorEastAsia" w:hint="eastAsia"/>
          <w:color w:val="000000" w:themeColor="text1"/>
          <w:sz w:val="24"/>
          <w:szCs w:val="24"/>
        </w:rPr>
        <w:t>（二）扎实做好个人所得税专项检查工作</w:t>
      </w:r>
      <w:bookmarkEnd w:id="60"/>
    </w:p>
    <w:p w14:paraId="604E56A0"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稽查部门要将高收入者个人所得税检查列入税收专项检查范围，认真部署落实。在检查中，要特别关注高收入者的非劳动所得是否缴纳税款和符合条件的高收入者是否办理自行纳税申报。对逃避纳税、应申报未申报、申报不实等情形，要严格按照税收征管法相关规定进行处理。对典型案例，要通过媒体予以曝光。</w:t>
      </w:r>
    </w:p>
    <w:p w14:paraId="385E2E36" w14:textId="66D3FC07"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63"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第三条第二款）</w:t>
      </w:r>
    </w:p>
    <w:p w14:paraId="101FB1A6"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按照税务总局的统一部署，认真开展个人所得税专项检查。同时，结合本地征管实际，选取部分高收入者比较集中的行业，切实搞好专项检查。加强税政、征管、稽查等部门的协调配合，及时提供违法线索，依法严厉查处。</w:t>
      </w:r>
    </w:p>
    <w:p w14:paraId="2AEEF397" w14:textId="78309252" w:rsidR="0070340E" w:rsidRPr="0070340E" w:rsidRDefault="0070340E" w:rsidP="0070340E">
      <w:pPr>
        <w:widowControl/>
        <w:shd w:val="clear" w:color="auto" w:fill="FFFFFF"/>
        <w:spacing w:beforeLines="50" w:before="156" w:line="480" w:lineRule="atLeast"/>
        <w:ind w:firstLineChars="200" w:firstLine="482"/>
        <w:jc w:val="right"/>
        <w:rPr>
          <w:rFonts w:asciiTheme="minorEastAsia" w:hAnsiTheme="minorEastAsia"/>
          <w:b/>
          <w:bCs/>
          <w:color w:val="000000" w:themeColor="text1"/>
          <w:sz w:val="24"/>
          <w:szCs w:val="24"/>
        </w:rPr>
      </w:pPr>
      <w:r w:rsidRPr="0070340E">
        <w:rPr>
          <w:rFonts w:asciiTheme="minorEastAsia" w:hAnsiTheme="minorEastAsia" w:hint="eastAsia"/>
          <w:b/>
          <w:bCs/>
          <w:color w:val="000000" w:themeColor="text1"/>
          <w:sz w:val="24"/>
          <w:szCs w:val="24"/>
        </w:rPr>
        <w:t>（</w:t>
      </w:r>
      <w:hyperlink r:id="rId64"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第五条第三款）</w:t>
      </w:r>
    </w:p>
    <w:p w14:paraId="2C03A9DE" w14:textId="77777777" w:rsidR="0070340E" w:rsidRPr="0070340E" w:rsidRDefault="0070340E" w:rsidP="0070340E">
      <w:pPr>
        <w:pStyle w:val="1"/>
        <w:spacing w:before="50" w:after="0" w:line="480" w:lineRule="atLeast"/>
        <w:rPr>
          <w:rFonts w:asciiTheme="minorEastAsia" w:hAnsiTheme="minorEastAsia"/>
          <w:color w:val="000000" w:themeColor="text1"/>
          <w:sz w:val="24"/>
          <w:szCs w:val="24"/>
        </w:rPr>
      </w:pPr>
      <w:bookmarkStart w:id="61" w:name="_Toc13327909"/>
      <w:r w:rsidRPr="0070340E">
        <w:rPr>
          <w:rFonts w:asciiTheme="minorEastAsia" w:hAnsiTheme="minorEastAsia" w:hint="eastAsia"/>
          <w:color w:val="000000" w:themeColor="text1"/>
          <w:sz w:val="24"/>
          <w:szCs w:val="24"/>
        </w:rPr>
        <w:lastRenderedPageBreak/>
        <w:t>六、不断改进纳税服务，引导高收入者依法诚信纳税</w:t>
      </w:r>
      <w:bookmarkEnd w:id="61"/>
    </w:p>
    <w:p w14:paraId="23988477" w14:textId="77777777" w:rsidR="0070340E" w:rsidRPr="0070340E" w:rsidRDefault="0070340E" w:rsidP="0070340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各地税务机关在加强高收入者个人所得税征收管理的同时，要切实做好纳税服务工作。要有针对性地对高收入者开展个人所得税法宣传和政策辅导，引导高收入者主动申报、依法纳税,形成诚信纳税的良好氛围；要推进“网上税务局”建设，建立多元化的申报方式，为纳税人包括高收入者提供多渠道、便捷化的申报纳税服务；要积极了解纳税人的涉税诉求，拓展咨询渠道，提高咨询回复质量和效率；要做好为纳税人开具完税证明和纳税人的收入、纳税信息保密管理工作，切实维护纳税人合法权益。</w:t>
      </w:r>
    </w:p>
    <w:p w14:paraId="2D1E8267" w14:textId="683A1626" w:rsidR="0070340E" w:rsidRPr="0070340E" w:rsidRDefault="0070340E" w:rsidP="0070340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70340E">
        <w:rPr>
          <w:rFonts w:asciiTheme="minorEastAsia" w:hAnsiTheme="minorEastAsia" w:hint="eastAsia"/>
          <w:color w:val="000000" w:themeColor="text1"/>
          <w:sz w:val="24"/>
          <w:szCs w:val="24"/>
          <w:shd w:val="clear" w:color="auto" w:fill="FFFFFF"/>
        </w:rPr>
        <w:t>（</w:t>
      </w:r>
      <w:hyperlink r:id="rId65" w:history="1">
        <w:r w:rsidR="00A47959" w:rsidRPr="00A47959">
          <w:rPr>
            <w:rStyle w:val="a8"/>
            <w:rFonts w:asciiTheme="minorEastAsia" w:hAnsiTheme="minorEastAsia" w:hint="eastAsia"/>
            <w:sz w:val="24"/>
            <w:szCs w:val="24"/>
            <w:shd w:val="clear" w:color="auto" w:fill="FFFFFF"/>
          </w:rPr>
          <w:t>国税发[2010]54号</w:t>
        </w:r>
      </w:hyperlink>
      <w:r w:rsidRPr="0070340E">
        <w:rPr>
          <w:rFonts w:asciiTheme="minorEastAsia" w:hAnsiTheme="minorEastAsia" w:hint="eastAsia"/>
          <w:color w:val="000000" w:themeColor="text1"/>
          <w:sz w:val="24"/>
          <w:szCs w:val="24"/>
          <w:shd w:val="clear" w:color="auto" w:fill="FFFFFF"/>
        </w:rPr>
        <w:t>第四条）</w:t>
      </w:r>
    </w:p>
    <w:p w14:paraId="067D739A" w14:textId="77777777" w:rsidR="0070340E" w:rsidRPr="0070340E" w:rsidRDefault="0070340E" w:rsidP="0070340E">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0340E">
        <w:rPr>
          <w:rFonts w:asciiTheme="minorEastAsia" w:hAnsiTheme="minorEastAsia" w:cs="宋体" w:hint="eastAsia"/>
          <w:color w:val="000000" w:themeColor="text1"/>
          <w:kern w:val="0"/>
          <w:sz w:val="24"/>
          <w:szCs w:val="24"/>
        </w:rPr>
        <w:t>积极为纳税人提供多渠道、便捷化的申报纳税服务。了解纳税人的涉税诉求，提高咨询回复质量和效率。有针对性地对高收入者进行税法宣传和政策辅导，引导其主动申报、依法纳税。认真贯彻落实税务总局有关工作要求，继续做好为纳税人开具完税证明工作。严格执行为纳税人收入和纳税信息保密的有关规定，维护纳税人合法权益。</w:t>
      </w:r>
    </w:p>
    <w:p w14:paraId="15C887AE" w14:textId="32698C8A" w:rsidR="0070340E" w:rsidRPr="0070340E" w:rsidRDefault="0070340E" w:rsidP="0070340E">
      <w:pPr>
        <w:spacing w:beforeLines="50" w:before="156" w:line="480" w:lineRule="atLeast"/>
        <w:ind w:firstLineChars="200" w:firstLine="482"/>
        <w:jc w:val="right"/>
        <w:rPr>
          <w:rFonts w:asciiTheme="minorEastAsia" w:hAnsiTheme="minorEastAsia"/>
          <w:color w:val="000000" w:themeColor="text1"/>
          <w:sz w:val="24"/>
          <w:szCs w:val="24"/>
          <w:shd w:val="clear" w:color="auto" w:fill="FFFFFF"/>
        </w:rPr>
      </w:pPr>
      <w:r w:rsidRPr="0070340E">
        <w:rPr>
          <w:rFonts w:asciiTheme="minorEastAsia" w:hAnsiTheme="minorEastAsia" w:hint="eastAsia"/>
          <w:b/>
          <w:bCs/>
          <w:color w:val="000000" w:themeColor="text1"/>
          <w:sz w:val="24"/>
          <w:szCs w:val="24"/>
        </w:rPr>
        <w:t>（</w:t>
      </w:r>
      <w:hyperlink r:id="rId66" w:history="1">
        <w:r w:rsidR="00A47959" w:rsidRPr="00A47959">
          <w:rPr>
            <w:rStyle w:val="a8"/>
            <w:rFonts w:asciiTheme="minorEastAsia" w:hAnsiTheme="minorEastAsia"/>
            <w:sz w:val="24"/>
            <w:szCs w:val="24"/>
          </w:rPr>
          <w:t>国税发〔2011〕50号</w:t>
        </w:r>
      </w:hyperlink>
      <w:r w:rsidRPr="0070340E">
        <w:rPr>
          <w:rFonts w:asciiTheme="minorEastAsia" w:hAnsiTheme="minorEastAsia" w:hint="eastAsia"/>
          <w:b/>
          <w:bCs/>
          <w:color w:val="000000" w:themeColor="text1"/>
          <w:sz w:val="24"/>
          <w:szCs w:val="24"/>
        </w:rPr>
        <w:t>第五条第一款）</w:t>
      </w:r>
    </w:p>
    <w:p w14:paraId="571E4692" w14:textId="77777777" w:rsidR="00AC0C76" w:rsidRPr="0070340E" w:rsidRDefault="00AC0C76" w:rsidP="00F34803">
      <w:pPr>
        <w:pStyle w:val="a7"/>
        <w:shd w:val="clear" w:color="auto" w:fill="FFFFFF"/>
        <w:spacing w:beforeLines="50" w:before="156" w:line="480" w:lineRule="atLeast"/>
        <w:ind w:firstLineChars="200" w:firstLine="480"/>
        <w:rPr>
          <w:rFonts w:asciiTheme="minorEastAsia" w:hAnsiTheme="minorEastAsia"/>
          <w:color w:val="000000" w:themeColor="text1"/>
        </w:rPr>
      </w:pPr>
    </w:p>
    <w:sectPr w:rsidR="00AC0C76" w:rsidRPr="0070340E">
      <w:footerReference w:type="defaul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79D1" w14:textId="77777777" w:rsidR="005671AB" w:rsidRDefault="005671AB" w:rsidP="00B85160">
      <w:r>
        <w:separator/>
      </w:r>
    </w:p>
  </w:endnote>
  <w:endnote w:type="continuationSeparator" w:id="0">
    <w:p w14:paraId="3F058645" w14:textId="77777777" w:rsidR="005671AB" w:rsidRDefault="005671AB"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F996" w14:textId="77777777" w:rsidR="005671AB" w:rsidRDefault="005671AB" w:rsidP="00B85160">
      <w:r>
        <w:separator/>
      </w:r>
    </w:p>
  </w:footnote>
  <w:footnote w:type="continuationSeparator" w:id="0">
    <w:p w14:paraId="12432060" w14:textId="77777777" w:rsidR="005671AB" w:rsidRDefault="005671AB" w:rsidP="00B8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B2D80"/>
    <w:multiLevelType w:val="hybridMultilevel"/>
    <w:tmpl w:val="35FEB3BE"/>
    <w:lvl w:ilvl="0" w:tplc="1F323C8C">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3"/>
    <w:rsid w:val="000357E8"/>
    <w:rsid w:val="0003664A"/>
    <w:rsid w:val="00042867"/>
    <w:rsid w:val="0006050D"/>
    <w:rsid w:val="000A2188"/>
    <w:rsid w:val="000C323A"/>
    <w:rsid w:val="000C3C03"/>
    <w:rsid w:val="000C4C1A"/>
    <w:rsid w:val="000D7506"/>
    <w:rsid w:val="000E4C51"/>
    <w:rsid w:val="000E645A"/>
    <w:rsid w:val="000F062A"/>
    <w:rsid w:val="000F6CC6"/>
    <w:rsid w:val="00120255"/>
    <w:rsid w:val="00120ED1"/>
    <w:rsid w:val="00140461"/>
    <w:rsid w:val="00144B52"/>
    <w:rsid w:val="00157D91"/>
    <w:rsid w:val="001940D1"/>
    <w:rsid w:val="001B2EA0"/>
    <w:rsid w:val="001B2EF1"/>
    <w:rsid w:val="0021174C"/>
    <w:rsid w:val="00240760"/>
    <w:rsid w:val="00241BDC"/>
    <w:rsid w:val="00251E90"/>
    <w:rsid w:val="0025698A"/>
    <w:rsid w:val="00264426"/>
    <w:rsid w:val="00271F70"/>
    <w:rsid w:val="00282F42"/>
    <w:rsid w:val="00297A9F"/>
    <w:rsid w:val="002A436C"/>
    <w:rsid w:val="002F0CC6"/>
    <w:rsid w:val="003034A5"/>
    <w:rsid w:val="00303E3C"/>
    <w:rsid w:val="00306DAB"/>
    <w:rsid w:val="0031202A"/>
    <w:rsid w:val="0032287A"/>
    <w:rsid w:val="00324BB0"/>
    <w:rsid w:val="00326887"/>
    <w:rsid w:val="00343AC6"/>
    <w:rsid w:val="00344585"/>
    <w:rsid w:val="00346F1A"/>
    <w:rsid w:val="00352E22"/>
    <w:rsid w:val="00354451"/>
    <w:rsid w:val="00374D70"/>
    <w:rsid w:val="00381083"/>
    <w:rsid w:val="003B159C"/>
    <w:rsid w:val="003C12F2"/>
    <w:rsid w:val="003D296D"/>
    <w:rsid w:val="003E7C78"/>
    <w:rsid w:val="004003A0"/>
    <w:rsid w:val="00425B4A"/>
    <w:rsid w:val="00452F27"/>
    <w:rsid w:val="00485FCE"/>
    <w:rsid w:val="004A2B65"/>
    <w:rsid w:val="004A5CD9"/>
    <w:rsid w:val="004A7018"/>
    <w:rsid w:val="004C7AB4"/>
    <w:rsid w:val="004D6197"/>
    <w:rsid w:val="004D6EBA"/>
    <w:rsid w:val="004D7508"/>
    <w:rsid w:val="004E1BD1"/>
    <w:rsid w:val="004E47C7"/>
    <w:rsid w:val="004F7121"/>
    <w:rsid w:val="00501C52"/>
    <w:rsid w:val="00516098"/>
    <w:rsid w:val="00524800"/>
    <w:rsid w:val="00525567"/>
    <w:rsid w:val="00556F6B"/>
    <w:rsid w:val="005671AB"/>
    <w:rsid w:val="0057623D"/>
    <w:rsid w:val="005778EE"/>
    <w:rsid w:val="00581328"/>
    <w:rsid w:val="005869CB"/>
    <w:rsid w:val="00594137"/>
    <w:rsid w:val="005C06D9"/>
    <w:rsid w:val="005C2F6A"/>
    <w:rsid w:val="005C4A0E"/>
    <w:rsid w:val="005C6016"/>
    <w:rsid w:val="005D3073"/>
    <w:rsid w:val="005E3D28"/>
    <w:rsid w:val="005F4A03"/>
    <w:rsid w:val="0060274D"/>
    <w:rsid w:val="0061484D"/>
    <w:rsid w:val="00622BFC"/>
    <w:rsid w:val="00622DBA"/>
    <w:rsid w:val="00624AFD"/>
    <w:rsid w:val="00627C86"/>
    <w:rsid w:val="006643EE"/>
    <w:rsid w:val="006813DF"/>
    <w:rsid w:val="0068347A"/>
    <w:rsid w:val="006B28BF"/>
    <w:rsid w:val="006B6D1C"/>
    <w:rsid w:val="006C2FCC"/>
    <w:rsid w:val="006D02E6"/>
    <w:rsid w:val="006D0589"/>
    <w:rsid w:val="006D4170"/>
    <w:rsid w:val="006D504C"/>
    <w:rsid w:val="006E035B"/>
    <w:rsid w:val="006F3C01"/>
    <w:rsid w:val="0070340E"/>
    <w:rsid w:val="007230D8"/>
    <w:rsid w:val="00723C50"/>
    <w:rsid w:val="0073204E"/>
    <w:rsid w:val="0074137B"/>
    <w:rsid w:val="007447CC"/>
    <w:rsid w:val="007625FB"/>
    <w:rsid w:val="0077704B"/>
    <w:rsid w:val="00781273"/>
    <w:rsid w:val="0078767E"/>
    <w:rsid w:val="007976C2"/>
    <w:rsid w:val="007A107D"/>
    <w:rsid w:val="007C25D4"/>
    <w:rsid w:val="007C45C0"/>
    <w:rsid w:val="007C4B12"/>
    <w:rsid w:val="007C67D0"/>
    <w:rsid w:val="007D615A"/>
    <w:rsid w:val="007E6FBA"/>
    <w:rsid w:val="007F7A95"/>
    <w:rsid w:val="00825C83"/>
    <w:rsid w:val="00833E19"/>
    <w:rsid w:val="008A049B"/>
    <w:rsid w:val="008A464A"/>
    <w:rsid w:val="008A7700"/>
    <w:rsid w:val="008B4664"/>
    <w:rsid w:val="008C46A5"/>
    <w:rsid w:val="008D6895"/>
    <w:rsid w:val="008F0A90"/>
    <w:rsid w:val="0090009C"/>
    <w:rsid w:val="00902C9A"/>
    <w:rsid w:val="00907DEF"/>
    <w:rsid w:val="00916DB9"/>
    <w:rsid w:val="0092066B"/>
    <w:rsid w:val="00921B32"/>
    <w:rsid w:val="009251DE"/>
    <w:rsid w:val="00925612"/>
    <w:rsid w:val="00934284"/>
    <w:rsid w:val="009504F8"/>
    <w:rsid w:val="00962194"/>
    <w:rsid w:val="00970DC9"/>
    <w:rsid w:val="0098301E"/>
    <w:rsid w:val="009852A4"/>
    <w:rsid w:val="00986487"/>
    <w:rsid w:val="009977F3"/>
    <w:rsid w:val="009B0AB0"/>
    <w:rsid w:val="009B2C6B"/>
    <w:rsid w:val="009B5351"/>
    <w:rsid w:val="009B791E"/>
    <w:rsid w:val="009B7C07"/>
    <w:rsid w:val="009C098F"/>
    <w:rsid w:val="009D1D79"/>
    <w:rsid w:val="009D5A0E"/>
    <w:rsid w:val="009D72BF"/>
    <w:rsid w:val="009E245F"/>
    <w:rsid w:val="009E4F0B"/>
    <w:rsid w:val="009F146B"/>
    <w:rsid w:val="009F6AC9"/>
    <w:rsid w:val="009F7B50"/>
    <w:rsid w:val="00A026DC"/>
    <w:rsid w:val="00A064A9"/>
    <w:rsid w:val="00A20E1B"/>
    <w:rsid w:val="00A30604"/>
    <w:rsid w:val="00A47959"/>
    <w:rsid w:val="00A5066A"/>
    <w:rsid w:val="00A65EBF"/>
    <w:rsid w:val="00A6786B"/>
    <w:rsid w:val="00A73840"/>
    <w:rsid w:val="00A7762B"/>
    <w:rsid w:val="00A85A5E"/>
    <w:rsid w:val="00AC031C"/>
    <w:rsid w:val="00AC0C76"/>
    <w:rsid w:val="00AD678D"/>
    <w:rsid w:val="00AD7224"/>
    <w:rsid w:val="00AE5B52"/>
    <w:rsid w:val="00B04437"/>
    <w:rsid w:val="00B1300D"/>
    <w:rsid w:val="00B30887"/>
    <w:rsid w:val="00B30FC2"/>
    <w:rsid w:val="00B37647"/>
    <w:rsid w:val="00B37B47"/>
    <w:rsid w:val="00B42E11"/>
    <w:rsid w:val="00B54468"/>
    <w:rsid w:val="00B57665"/>
    <w:rsid w:val="00B85160"/>
    <w:rsid w:val="00BB1CEB"/>
    <w:rsid w:val="00BB29AA"/>
    <w:rsid w:val="00BB4920"/>
    <w:rsid w:val="00BB51F5"/>
    <w:rsid w:val="00BB7F4E"/>
    <w:rsid w:val="00BC5741"/>
    <w:rsid w:val="00BD35B5"/>
    <w:rsid w:val="00BE06F4"/>
    <w:rsid w:val="00C044BE"/>
    <w:rsid w:val="00C160FD"/>
    <w:rsid w:val="00C1636A"/>
    <w:rsid w:val="00C17D36"/>
    <w:rsid w:val="00C33E43"/>
    <w:rsid w:val="00C56CE6"/>
    <w:rsid w:val="00C75500"/>
    <w:rsid w:val="00C77946"/>
    <w:rsid w:val="00CA47F4"/>
    <w:rsid w:val="00CD65F8"/>
    <w:rsid w:val="00CF26B3"/>
    <w:rsid w:val="00D063C7"/>
    <w:rsid w:val="00D06CA3"/>
    <w:rsid w:val="00D12AD1"/>
    <w:rsid w:val="00D25F72"/>
    <w:rsid w:val="00D53775"/>
    <w:rsid w:val="00D84AE9"/>
    <w:rsid w:val="00D91FD9"/>
    <w:rsid w:val="00DA31E8"/>
    <w:rsid w:val="00DB04C5"/>
    <w:rsid w:val="00DB7F97"/>
    <w:rsid w:val="00DF5AB0"/>
    <w:rsid w:val="00E01A3B"/>
    <w:rsid w:val="00E12BBA"/>
    <w:rsid w:val="00E2137F"/>
    <w:rsid w:val="00E218F7"/>
    <w:rsid w:val="00E256A3"/>
    <w:rsid w:val="00E31C3B"/>
    <w:rsid w:val="00E3659F"/>
    <w:rsid w:val="00E4455A"/>
    <w:rsid w:val="00E54F9B"/>
    <w:rsid w:val="00E6345F"/>
    <w:rsid w:val="00E72303"/>
    <w:rsid w:val="00E958C4"/>
    <w:rsid w:val="00EC46E3"/>
    <w:rsid w:val="00EC4751"/>
    <w:rsid w:val="00ED4C87"/>
    <w:rsid w:val="00EF2C21"/>
    <w:rsid w:val="00F0322E"/>
    <w:rsid w:val="00F061E2"/>
    <w:rsid w:val="00F262D3"/>
    <w:rsid w:val="00F34803"/>
    <w:rsid w:val="00F57C18"/>
    <w:rsid w:val="00F6394A"/>
    <w:rsid w:val="00F725CB"/>
    <w:rsid w:val="00F803E7"/>
    <w:rsid w:val="00F8713B"/>
    <w:rsid w:val="00FE6671"/>
    <w:rsid w:val="00FF4550"/>
    <w:rsid w:val="00F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chartTrackingRefBased/>
  <w15:docId w15:val="{AF4C3DF9-5A2A-4AB4-AA6E-2B5C48A1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8A464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0E4C51"/>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20ED1"/>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E01A3B"/>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rsid w:val="009D5A0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50">
    <w:name w:val="标题 5 字符"/>
    <w:basedOn w:val="a0"/>
    <w:link w:val="5"/>
    <w:uiPriority w:val="9"/>
    <w:rsid w:val="008A464A"/>
    <w:rPr>
      <w:b/>
      <w:bCs/>
      <w:sz w:val="28"/>
      <w:szCs w:val="28"/>
    </w:rPr>
  </w:style>
  <w:style w:type="character" w:styleId="a9">
    <w:name w:val="Subtle Emphasis"/>
    <w:basedOn w:val="a0"/>
    <w:uiPriority w:val="19"/>
    <w:qFormat/>
    <w:rsid w:val="00157D91"/>
    <w:rPr>
      <w:i/>
      <w:iCs/>
      <w:color w:val="404040" w:themeColor="text1" w:themeTint="BF"/>
    </w:rPr>
  </w:style>
  <w:style w:type="character" w:customStyle="1" w:styleId="60">
    <w:name w:val="标题 6 字符"/>
    <w:basedOn w:val="a0"/>
    <w:link w:val="6"/>
    <w:uiPriority w:val="9"/>
    <w:rsid w:val="000E4C51"/>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20ED1"/>
    <w:rPr>
      <w:b/>
      <w:bCs/>
      <w:sz w:val="24"/>
      <w:szCs w:val="24"/>
    </w:rPr>
  </w:style>
  <w:style w:type="paragraph" w:styleId="aa">
    <w:name w:val="footnote text"/>
    <w:basedOn w:val="a"/>
    <w:link w:val="ab"/>
    <w:uiPriority w:val="99"/>
    <w:semiHidden/>
    <w:unhideWhenUsed/>
    <w:rsid w:val="00C1636A"/>
    <w:pPr>
      <w:snapToGrid w:val="0"/>
      <w:jc w:val="left"/>
    </w:pPr>
    <w:rPr>
      <w:sz w:val="18"/>
      <w:szCs w:val="18"/>
    </w:rPr>
  </w:style>
  <w:style w:type="character" w:customStyle="1" w:styleId="ab">
    <w:name w:val="脚注文本 字符"/>
    <w:basedOn w:val="a0"/>
    <w:link w:val="aa"/>
    <w:uiPriority w:val="99"/>
    <w:semiHidden/>
    <w:rsid w:val="00C1636A"/>
    <w:rPr>
      <w:sz w:val="18"/>
      <w:szCs w:val="18"/>
    </w:rPr>
  </w:style>
  <w:style w:type="character" w:styleId="ac">
    <w:name w:val="footnote reference"/>
    <w:basedOn w:val="a0"/>
    <w:uiPriority w:val="99"/>
    <w:semiHidden/>
    <w:unhideWhenUsed/>
    <w:rsid w:val="00C1636A"/>
    <w:rPr>
      <w:vertAlign w:val="superscript"/>
    </w:rPr>
  </w:style>
  <w:style w:type="character" w:customStyle="1" w:styleId="80">
    <w:name w:val="标题 8 字符"/>
    <w:basedOn w:val="a0"/>
    <w:link w:val="8"/>
    <w:uiPriority w:val="9"/>
    <w:rsid w:val="00E01A3B"/>
    <w:rPr>
      <w:rFonts w:asciiTheme="majorHAnsi" w:eastAsiaTheme="majorEastAsia" w:hAnsiTheme="majorHAnsi" w:cstheme="majorBidi"/>
      <w:sz w:val="24"/>
      <w:szCs w:val="24"/>
    </w:rPr>
  </w:style>
  <w:style w:type="character" w:styleId="ad">
    <w:name w:val="Strong"/>
    <w:basedOn w:val="a0"/>
    <w:uiPriority w:val="22"/>
    <w:qFormat/>
    <w:rsid w:val="00E31C3B"/>
    <w:rPr>
      <w:b/>
      <w:bCs/>
    </w:rPr>
  </w:style>
  <w:style w:type="character" w:customStyle="1" w:styleId="yanse">
    <w:name w:val="yanse"/>
    <w:basedOn w:val="a0"/>
    <w:rsid w:val="00E31C3B"/>
  </w:style>
  <w:style w:type="character" w:customStyle="1" w:styleId="90">
    <w:name w:val="标题 9 字符"/>
    <w:basedOn w:val="a0"/>
    <w:link w:val="9"/>
    <w:uiPriority w:val="9"/>
    <w:rsid w:val="009D5A0E"/>
    <w:rPr>
      <w:rFonts w:asciiTheme="majorHAnsi" w:eastAsiaTheme="majorEastAsia" w:hAnsiTheme="majorHAnsi" w:cstheme="majorBidi"/>
      <w:szCs w:val="21"/>
    </w:rPr>
  </w:style>
  <w:style w:type="paragraph" w:styleId="ae">
    <w:name w:val="Balloon Text"/>
    <w:basedOn w:val="a"/>
    <w:link w:val="af"/>
    <w:uiPriority w:val="99"/>
    <w:semiHidden/>
    <w:unhideWhenUsed/>
    <w:rsid w:val="007625FB"/>
    <w:rPr>
      <w:sz w:val="18"/>
      <w:szCs w:val="18"/>
    </w:rPr>
  </w:style>
  <w:style w:type="character" w:customStyle="1" w:styleId="af">
    <w:name w:val="批注框文本 字符"/>
    <w:basedOn w:val="a0"/>
    <w:link w:val="ae"/>
    <w:uiPriority w:val="99"/>
    <w:semiHidden/>
    <w:rsid w:val="007625FB"/>
    <w:rPr>
      <w:sz w:val="18"/>
      <w:szCs w:val="18"/>
    </w:rPr>
  </w:style>
  <w:style w:type="character" w:styleId="af0">
    <w:name w:val="Unresolved Mention"/>
    <w:basedOn w:val="a0"/>
    <w:uiPriority w:val="99"/>
    <w:semiHidden/>
    <w:unhideWhenUsed/>
    <w:rsid w:val="00A4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1933.html" TargetMode="External"/><Relationship Id="rId18" Type="http://schemas.openxmlformats.org/officeDocument/2006/relationships/hyperlink" Target="http://ssfb86.com/index/News/detail/newsid/1933.html" TargetMode="External"/><Relationship Id="rId26" Type="http://schemas.openxmlformats.org/officeDocument/2006/relationships/hyperlink" Target="http://ssfb86.com/index/News/detail/newsid/1764.html" TargetMode="External"/><Relationship Id="rId39" Type="http://schemas.openxmlformats.org/officeDocument/2006/relationships/hyperlink" Target="http://ssfb86.com/index/News/detail/newsid/1764.html" TargetMode="External"/><Relationship Id="rId21" Type="http://schemas.openxmlformats.org/officeDocument/2006/relationships/hyperlink" Target="http://ssfb86.com/index/News/detail/newsid/2978.html" TargetMode="External"/><Relationship Id="rId34" Type="http://schemas.openxmlformats.org/officeDocument/2006/relationships/hyperlink" Target="http://ssfb86.com/index/News/detail/newsid/1933.html" TargetMode="External"/><Relationship Id="rId42" Type="http://schemas.openxmlformats.org/officeDocument/2006/relationships/hyperlink" Target="http://ssfb86.com/index/News/detail/newsid/1933.html" TargetMode="External"/><Relationship Id="rId47" Type="http://schemas.openxmlformats.org/officeDocument/2006/relationships/hyperlink" Target="http://ssfb86.com/index/News/detail/newsid/1764.html" TargetMode="External"/><Relationship Id="rId50" Type="http://schemas.openxmlformats.org/officeDocument/2006/relationships/hyperlink" Target="http://ssfb86.com/index/News/detail/newsid/1933.html" TargetMode="External"/><Relationship Id="rId55" Type="http://schemas.openxmlformats.org/officeDocument/2006/relationships/hyperlink" Target="http://ssfb86.com/index/News/detail/newsid/1764.html" TargetMode="External"/><Relationship Id="rId63" Type="http://schemas.openxmlformats.org/officeDocument/2006/relationships/hyperlink" Target="http://ssfb86.com/index/News/detail/newsid/1933.html" TargetMode="External"/><Relationship Id="rId68" Type="http://schemas.openxmlformats.org/officeDocument/2006/relationships/fontTable" Target="fontTable.xml"/><Relationship Id="rId7" Type="http://schemas.openxmlformats.org/officeDocument/2006/relationships/hyperlink" Target="http://ssfb86.com/index/News/detail/newsid/1933.html" TargetMode="External"/><Relationship Id="rId2" Type="http://schemas.openxmlformats.org/officeDocument/2006/relationships/styles" Target="styles.xml"/><Relationship Id="rId16" Type="http://schemas.openxmlformats.org/officeDocument/2006/relationships/hyperlink" Target="http://ssfb86.com/index/News/detail/newsid/1933.html" TargetMode="External"/><Relationship Id="rId29" Type="http://schemas.openxmlformats.org/officeDocument/2006/relationships/hyperlink" Target="http://ssfb86.com/index/News/detail/newsid/176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b86.com/index/News/detail/newsid/1933.html" TargetMode="External"/><Relationship Id="rId24" Type="http://schemas.openxmlformats.org/officeDocument/2006/relationships/hyperlink" Target="http://ssfb86.com/index/News/detail/newsid/2712.html" TargetMode="External"/><Relationship Id="rId32" Type="http://schemas.openxmlformats.org/officeDocument/2006/relationships/hyperlink" Target="http://ssfb86.com/index/News/detail/newsid/1764.html" TargetMode="External"/><Relationship Id="rId37" Type="http://schemas.openxmlformats.org/officeDocument/2006/relationships/hyperlink" Target="http://ssfb86.com/index/News/detail/newsid/1933.html" TargetMode="External"/><Relationship Id="rId40" Type="http://schemas.openxmlformats.org/officeDocument/2006/relationships/hyperlink" Target="http://ssfb86.com/index/News/detail/newsid/3814.html" TargetMode="External"/><Relationship Id="rId45" Type="http://schemas.openxmlformats.org/officeDocument/2006/relationships/hyperlink" Target="http://ssfb86.com/index/News/detail/newsid/1764.html" TargetMode="External"/><Relationship Id="rId53" Type="http://schemas.openxmlformats.org/officeDocument/2006/relationships/hyperlink" Target="http://ssfb86.com/index/News/detail/newsid/1933.html" TargetMode="External"/><Relationship Id="rId58" Type="http://schemas.openxmlformats.org/officeDocument/2006/relationships/hyperlink" Target="http://ssfb86.com/index/News/detail/newsid/1764.html" TargetMode="External"/><Relationship Id="rId66" Type="http://schemas.openxmlformats.org/officeDocument/2006/relationships/hyperlink" Target="http://ssfb86.com/index/News/detail/newsid/1764.html" TargetMode="External"/><Relationship Id="rId5" Type="http://schemas.openxmlformats.org/officeDocument/2006/relationships/footnotes" Target="footnotes.xml"/><Relationship Id="rId15" Type="http://schemas.openxmlformats.org/officeDocument/2006/relationships/hyperlink" Target="http://ssfb86.com/index/News/detail/newsid/1933.html" TargetMode="External"/><Relationship Id="rId23" Type="http://schemas.openxmlformats.org/officeDocument/2006/relationships/hyperlink" Target="http://ssfb86.com/index/News/detail/newsid/1764.html" TargetMode="External"/><Relationship Id="rId28" Type="http://schemas.openxmlformats.org/officeDocument/2006/relationships/hyperlink" Target="http://ssfb86.com/index/News/detail/newsid/1933.html" TargetMode="External"/><Relationship Id="rId36" Type="http://schemas.openxmlformats.org/officeDocument/2006/relationships/hyperlink" Target="http://ssfb86.com/index/News/detail/newsid/4393.html" TargetMode="External"/><Relationship Id="rId49" Type="http://schemas.openxmlformats.org/officeDocument/2006/relationships/hyperlink" Target="http://ssfb86.com/index/News/detail/newsid/1933.html" TargetMode="External"/><Relationship Id="rId57" Type="http://schemas.openxmlformats.org/officeDocument/2006/relationships/hyperlink" Target="http://ssfb86.com/index/News/detail/newsid/1764.html" TargetMode="External"/><Relationship Id="rId61" Type="http://schemas.openxmlformats.org/officeDocument/2006/relationships/hyperlink" Target="http://ssfb86.com/index/News/detail/newsid/1933.html" TargetMode="External"/><Relationship Id="rId10" Type="http://schemas.openxmlformats.org/officeDocument/2006/relationships/hyperlink" Target="http://ssfb86.com/index/News/detail/newsid/3125.html" TargetMode="External"/><Relationship Id="rId19" Type="http://schemas.openxmlformats.org/officeDocument/2006/relationships/hyperlink" Target="http://ssfb86.com/index/News/detail/newsid/1764.html" TargetMode="External"/><Relationship Id="rId31" Type="http://schemas.openxmlformats.org/officeDocument/2006/relationships/hyperlink" Target="http://ssfb86.com/index/News/detail/newsid/1933.html" TargetMode="External"/><Relationship Id="rId44" Type="http://schemas.openxmlformats.org/officeDocument/2006/relationships/hyperlink" Target="http://ssfb86.com/index/News/detail/newsid/1764.html" TargetMode="External"/><Relationship Id="rId52" Type="http://schemas.openxmlformats.org/officeDocument/2006/relationships/hyperlink" Target="http://ssfb86.com/index/News/detail/newsid/1764.html" TargetMode="External"/><Relationship Id="rId60" Type="http://schemas.openxmlformats.org/officeDocument/2006/relationships/hyperlink" Target="http://ssfb86.com/index/News/detail/newsid/1764.html" TargetMode="External"/><Relationship Id="rId65" Type="http://schemas.openxmlformats.org/officeDocument/2006/relationships/hyperlink" Target="http://ssfb86.com/index/News/detail/newsid/1933.html" TargetMode="External"/><Relationship Id="rId4" Type="http://schemas.openxmlformats.org/officeDocument/2006/relationships/webSettings" Target="webSettings.xml"/><Relationship Id="rId9" Type="http://schemas.openxmlformats.org/officeDocument/2006/relationships/hyperlink" Target="http://ssfb86.com/index/News/detail/newsid/247.html" TargetMode="External"/><Relationship Id="rId14" Type="http://schemas.openxmlformats.org/officeDocument/2006/relationships/hyperlink" Target="http://ssfb86.com/index/News/detail/newsid/1933.html" TargetMode="External"/><Relationship Id="rId22" Type="http://schemas.openxmlformats.org/officeDocument/2006/relationships/hyperlink" Target="http://ssfb86.com/index/News/detail/newsid/2734.html" TargetMode="External"/><Relationship Id="rId27" Type="http://schemas.openxmlformats.org/officeDocument/2006/relationships/hyperlink" Target="http://ssfb86.com/index/News/detail/newsid/1764.html" TargetMode="External"/><Relationship Id="rId30" Type="http://schemas.openxmlformats.org/officeDocument/2006/relationships/hyperlink" Target="http://ssfb86.com/index/News/detail/newsid/1764.html" TargetMode="External"/><Relationship Id="rId35" Type="http://schemas.openxmlformats.org/officeDocument/2006/relationships/hyperlink" Target="http://ssfb86.com/index/News/detail/newsid/1764.html" TargetMode="External"/><Relationship Id="rId43" Type="http://schemas.openxmlformats.org/officeDocument/2006/relationships/hyperlink" Target="http://ssfb86.com/index/News/detail/newsid/1933.html" TargetMode="External"/><Relationship Id="rId48" Type="http://schemas.openxmlformats.org/officeDocument/2006/relationships/hyperlink" Target="http://ssfb86.com/index/News/detail/newsid/1764.html" TargetMode="External"/><Relationship Id="rId56" Type="http://schemas.openxmlformats.org/officeDocument/2006/relationships/hyperlink" Target="http://ssfb86.com/index/News/detail/newsid/1764.html" TargetMode="External"/><Relationship Id="rId64" Type="http://schemas.openxmlformats.org/officeDocument/2006/relationships/hyperlink" Target="http://ssfb86.com/index/News/detail/newsid/1764.html" TargetMode="External"/><Relationship Id="rId69" Type="http://schemas.openxmlformats.org/officeDocument/2006/relationships/theme" Target="theme/theme1.xml"/><Relationship Id="rId8" Type="http://schemas.openxmlformats.org/officeDocument/2006/relationships/hyperlink" Target="http://ssfb86.com/index/News/detail/newsid/310.html" TargetMode="External"/><Relationship Id="rId51" Type="http://schemas.openxmlformats.org/officeDocument/2006/relationships/hyperlink" Target="http://ssfb86.com/index/News/detail/newsid/1764.html" TargetMode="External"/><Relationship Id="rId3" Type="http://schemas.openxmlformats.org/officeDocument/2006/relationships/settings" Target="settings.xml"/><Relationship Id="rId12" Type="http://schemas.openxmlformats.org/officeDocument/2006/relationships/hyperlink" Target="http://ssfb86.com/index/News/detail/newsid/1933.html" TargetMode="External"/><Relationship Id="rId17" Type="http://schemas.openxmlformats.org/officeDocument/2006/relationships/hyperlink" Target="http://ssfb86.com/index/News/detail/newsid/2113.html" TargetMode="External"/><Relationship Id="rId25" Type="http://schemas.openxmlformats.org/officeDocument/2006/relationships/hyperlink" Target="http://ssfb86.com/index/News/detail/newsid/1933.html" TargetMode="External"/><Relationship Id="rId33" Type="http://schemas.openxmlformats.org/officeDocument/2006/relationships/hyperlink" Target="http://ssfb86.com/index/News/detail/newsid/3814.html" TargetMode="External"/><Relationship Id="rId38" Type="http://schemas.openxmlformats.org/officeDocument/2006/relationships/hyperlink" Target="http://ssfb86.com/index/News/detail/newsid/1764.html" TargetMode="External"/><Relationship Id="rId46" Type="http://schemas.openxmlformats.org/officeDocument/2006/relationships/hyperlink" Target="http://ssfb86.com/index/News/detail/newsid/1764.html" TargetMode="External"/><Relationship Id="rId59" Type="http://schemas.openxmlformats.org/officeDocument/2006/relationships/hyperlink" Target="http://ssfb86.com/index/News/detail/newsid/1764.html" TargetMode="External"/><Relationship Id="rId67" Type="http://schemas.openxmlformats.org/officeDocument/2006/relationships/footer" Target="footer1.xml"/><Relationship Id="rId20" Type="http://schemas.openxmlformats.org/officeDocument/2006/relationships/hyperlink" Target="http://ssfb86.com/index/News/detail/newsid/1764.html" TargetMode="External"/><Relationship Id="rId41" Type="http://schemas.openxmlformats.org/officeDocument/2006/relationships/hyperlink" Target="http://ssfb86.com/index/News/detail/newsid/1933.html" TargetMode="External"/><Relationship Id="rId54" Type="http://schemas.openxmlformats.org/officeDocument/2006/relationships/hyperlink" Target="http://ssfb86.com/index/News/detail/newsid/1764.html" TargetMode="External"/><Relationship Id="rId62" Type="http://schemas.openxmlformats.org/officeDocument/2006/relationships/hyperlink" Target="http://ssfb86.com/index/News/detail/newsid/176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2020-07-15T09:57:00Z</dcterms:created>
  <dcterms:modified xsi:type="dcterms:W3CDTF">2020-10-19T12:03:00Z</dcterms:modified>
</cp:coreProperties>
</file>