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A0360" w14:textId="77777777" w:rsidR="00AE068E" w:rsidRPr="00E25568" w:rsidRDefault="00AE068E" w:rsidP="00E25568">
      <w:pPr>
        <w:spacing w:beforeLines="50" w:before="156" w:line="480" w:lineRule="atLeast"/>
        <w:rPr>
          <w:rFonts w:asciiTheme="minorEastAsia" w:hAnsiTheme="minorEastAsia" w:hint="eastAsia"/>
          <w:sz w:val="24"/>
          <w:szCs w:val="24"/>
        </w:rPr>
      </w:pPr>
    </w:p>
    <w:p w14:paraId="00F0469B" w14:textId="77777777" w:rsidR="00E25568" w:rsidRPr="00E25568" w:rsidRDefault="00702362" w:rsidP="00E25568">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5.</w:t>
      </w:r>
      <w:r w:rsidR="00CD350D">
        <w:rPr>
          <w:rFonts w:asciiTheme="minorEastAsia" w:hAnsiTheme="minorEastAsia" w:hint="eastAsia"/>
          <w:sz w:val="44"/>
          <w:szCs w:val="44"/>
        </w:rPr>
        <w:t>2</w:t>
      </w:r>
      <w:r w:rsidR="00E25568" w:rsidRPr="00E25568">
        <w:rPr>
          <w:rFonts w:asciiTheme="minorEastAsia" w:hAnsiTheme="minorEastAsia" w:hint="eastAsia"/>
          <w:sz w:val="44"/>
          <w:szCs w:val="44"/>
        </w:rPr>
        <w:t xml:space="preserve">  </w:t>
      </w:r>
      <w:r w:rsidR="00CD350D" w:rsidRPr="00CD350D">
        <w:rPr>
          <w:rFonts w:asciiTheme="minorEastAsia" w:hAnsiTheme="minorEastAsia" w:hint="eastAsia"/>
          <w:sz w:val="44"/>
          <w:szCs w:val="44"/>
        </w:rPr>
        <w:t>征管规程</w:t>
      </w:r>
    </w:p>
    <w:p w14:paraId="1CD15BC9" w14:textId="77777777" w:rsidR="00E25568" w:rsidRDefault="00E25568" w:rsidP="00D13D22">
      <w:pPr>
        <w:spacing w:beforeLines="50" w:before="156" w:line="480" w:lineRule="atLeast"/>
        <w:rPr>
          <w:rFonts w:asciiTheme="minorEastAsia" w:hAnsiTheme="minorEastAsia"/>
          <w:color w:val="000000" w:themeColor="text1"/>
          <w:sz w:val="24"/>
          <w:szCs w:val="24"/>
        </w:rPr>
      </w:pPr>
    </w:p>
    <w:p w14:paraId="26BAFFB2" w14:textId="77777777" w:rsidR="00A30A24" w:rsidRPr="00C3394B" w:rsidRDefault="00A30A24" w:rsidP="00A30A24">
      <w:pPr>
        <w:pStyle w:val="2"/>
        <w:spacing w:beforeLines="50" w:before="156" w:after="0" w:line="440" w:lineRule="atLeast"/>
        <w:jc w:val="center"/>
        <w:rPr>
          <w:rFonts w:ascii="微软雅黑" w:eastAsia="微软雅黑" w:hAnsi="微软雅黑"/>
          <w:sz w:val="24"/>
          <w:szCs w:val="24"/>
        </w:rPr>
      </w:pPr>
      <w:r w:rsidRPr="00C3394B">
        <w:rPr>
          <w:rStyle w:val="ab"/>
          <w:rFonts w:ascii="微软雅黑" w:eastAsia="微软雅黑" w:hAnsi="微软雅黑" w:hint="eastAsia"/>
          <w:sz w:val="24"/>
          <w:szCs w:val="24"/>
        </w:rPr>
        <w:t>第一章  总则</w:t>
      </w:r>
    </w:p>
    <w:p w14:paraId="6EF00E30" w14:textId="77777777" w:rsidR="00A30A24" w:rsidRPr="00A30A24" w:rsidRDefault="00A30A24" w:rsidP="00A30A24">
      <w:pPr>
        <w:pStyle w:val="a8"/>
        <w:shd w:val="clear" w:color="auto" w:fill="FFFFFF"/>
        <w:spacing w:beforeLines="50" w:before="156" w:afterLines="50" w:after="156" w:line="440" w:lineRule="atLeast"/>
        <w:ind w:firstLineChars="200" w:firstLine="480"/>
        <w:jc w:val="center"/>
        <w:rPr>
          <w:rFonts w:asciiTheme="minorEastAsia" w:eastAsiaTheme="minorEastAsia" w:hAnsiTheme="minorEastAsia"/>
          <w:color w:val="333333"/>
        </w:rPr>
      </w:pPr>
      <w:r w:rsidRPr="00A30A24">
        <w:rPr>
          <w:rFonts w:asciiTheme="minorEastAsia" w:eastAsiaTheme="minorEastAsia" w:hAnsiTheme="minorEastAsia" w:hint="eastAsia"/>
          <w:color w:val="333333"/>
        </w:rPr>
        <w:t> </w:t>
      </w:r>
    </w:p>
    <w:p w14:paraId="0A5D4AAE"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第一条</w:t>
      </w:r>
      <w:r w:rsidRPr="00A907D9">
        <w:rPr>
          <w:rFonts w:asciiTheme="minorEastAsia" w:eastAsiaTheme="minorEastAsia" w:hAnsiTheme="minorEastAsia" w:hint="eastAsia"/>
          <w:strike/>
          <w:color w:val="000000" w:themeColor="text1"/>
        </w:rPr>
        <w:t>  为规范资源税征收管理，根据《中华人民共和国税收征收管理法》及其实施细则、《</w:t>
      </w:r>
      <w:r w:rsidRPr="00A907D9">
        <w:rPr>
          <w:rFonts w:asciiTheme="minorEastAsia" w:eastAsiaTheme="minorEastAsia" w:hAnsiTheme="minorEastAsia" w:hint="eastAsia"/>
          <w:i/>
          <w:iCs/>
          <w:strike/>
          <w:color w:val="000000" w:themeColor="text1"/>
        </w:rPr>
        <w:t>中华人民共和国资源税暂行条例</w:t>
      </w:r>
      <w:r w:rsidRPr="00A907D9">
        <w:rPr>
          <w:rFonts w:asciiTheme="minorEastAsia" w:eastAsiaTheme="minorEastAsia" w:hAnsiTheme="minorEastAsia" w:hint="eastAsia"/>
          <w:strike/>
          <w:color w:val="000000" w:themeColor="text1"/>
        </w:rPr>
        <w:t>》及其实施细则和</w:t>
      </w:r>
      <w:hyperlink r:id="rId6" w:history="1">
        <w:r w:rsidRPr="00A907D9">
          <w:rPr>
            <w:rStyle w:val="a7"/>
            <w:rFonts w:asciiTheme="minorEastAsia" w:eastAsiaTheme="minorEastAsia" w:hAnsiTheme="minorEastAsia" w:hint="eastAsia"/>
            <w:strike/>
            <w:color w:val="000000" w:themeColor="text1"/>
          </w:rPr>
          <w:t>《财政部 国家税务总局关于全面推进资源税改革的通知》（财税〔2016〕53号）</w:t>
        </w:r>
      </w:hyperlink>
      <w:r w:rsidRPr="00A907D9">
        <w:rPr>
          <w:rFonts w:asciiTheme="minorEastAsia" w:eastAsiaTheme="minorEastAsia" w:hAnsiTheme="minorEastAsia" w:hint="eastAsia"/>
          <w:strike/>
          <w:color w:val="000000" w:themeColor="text1"/>
        </w:rPr>
        <w:t>规定，制定本规程。</w:t>
      </w:r>
    </w:p>
    <w:p w14:paraId="38069B0D" w14:textId="4AC92AE5"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bookmarkStart w:id="0" w:name="_Hlk25690373"/>
      <w:r w:rsidRPr="00A907D9">
        <w:rPr>
          <w:rFonts w:asciiTheme="minorEastAsia" w:hAnsiTheme="minorEastAsia" w:hint="eastAsia"/>
          <w:strike/>
          <w:color w:val="000000" w:themeColor="text1"/>
          <w:sz w:val="24"/>
          <w:szCs w:val="24"/>
        </w:rPr>
        <w:t>（</w:t>
      </w:r>
      <w:bookmarkStart w:id="1" w:name="_Hlk54379619"/>
      <w:r w:rsidR="00A907D9" w:rsidRPr="00A907D9">
        <w:rPr>
          <w:rFonts w:asciiTheme="minorEastAsia" w:hAnsiTheme="minorEastAsia"/>
          <w:strike/>
          <w:sz w:val="24"/>
          <w:szCs w:val="24"/>
        </w:rPr>
        <w:fldChar w:fldCharType="begin"/>
      </w:r>
      <w:r w:rsidR="00A907D9" w:rsidRPr="00A907D9">
        <w:rPr>
          <w:rFonts w:asciiTheme="minorEastAsia" w:hAnsiTheme="minorEastAsia"/>
          <w:strike/>
          <w:sz w:val="24"/>
          <w:szCs w:val="24"/>
        </w:rPr>
        <w:instrText xml:space="preserve"> HYPERLINK "http://ssfb86.com/index/News/detail/newsid/393.html" </w:instrText>
      </w:r>
      <w:r w:rsidR="00A907D9" w:rsidRPr="00A907D9">
        <w:rPr>
          <w:rFonts w:asciiTheme="minorEastAsia" w:hAnsiTheme="minorEastAsia"/>
          <w:strike/>
          <w:sz w:val="24"/>
          <w:szCs w:val="24"/>
        </w:rPr>
      </w:r>
      <w:r w:rsidR="00A907D9" w:rsidRPr="00A907D9">
        <w:rPr>
          <w:rFonts w:asciiTheme="minorEastAsia" w:hAnsiTheme="minorEastAsia"/>
          <w:strike/>
          <w:sz w:val="24"/>
          <w:szCs w:val="24"/>
        </w:rPr>
        <w:fldChar w:fldCharType="separate"/>
      </w:r>
      <w:r w:rsidRPr="00A907D9">
        <w:rPr>
          <w:rStyle w:val="a7"/>
          <w:rFonts w:asciiTheme="minorEastAsia" w:hAnsiTheme="minorEastAsia" w:hint="eastAsia"/>
          <w:strike/>
          <w:sz w:val="24"/>
          <w:szCs w:val="24"/>
        </w:rPr>
        <w:t>国家税务总局公告2018年第13号</w:t>
      </w:r>
      <w:r w:rsidR="00A907D9" w:rsidRPr="00A907D9">
        <w:rPr>
          <w:rFonts w:asciiTheme="minorEastAsia" w:hAnsiTheme="minorEastAsia"/>
          <w:strike/>
          <w:sz w:val="24"/>
          <w:szCs w:val="24"/>
        </w:rPr>
        <w:fldChar w:fldCharType="end"/>
      </w:r>
      <w:bookmarkEnd w:id="1"/>
      <w:r w:rsidRPr="00A907D9">
        <w:rPr>
          <w:rFonts w:asciiTheme="minorEastAsia" w:hAnsiTheme="minorEastAsia" w:hint="eastAsia"/>
          <w:strike/>
          <w:color w:val="000000" w:themeColor="text1"/>
          <w:sz w:val="24"/>
          <w:szCs w:val="24"/>
        </w:rPr>
        <w:t>第一条）</w:t>
      </w:r>
    </w:p>
    <w:bookmarkEnd w:id="0"/>
    <w:p w14:paraId="70771125"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第二条</w:t>
      </w:r>
      <w:r w:rsidRPr="00A907D9">
        <w:rPr>
          <w:rFonts w:asciiTheme="minorEastAsia" w:eastAsiaTheme="minorEastAsia" w:hAnsiTheme="minorEastAsia" w:hint="eastAsia"/>
          <w:strike/>
          <w:color w:val="000000" w:themeColor="text1"/>
        </w:rPr>
        <w:t>  纳税人开采或者生产资源税应税产品，应当依法向开采地或者生产地主管税务机关申报缴纳资源税。</w:t>
      </w:r>
    </w:p>
    <w:p w14:paraId="22D9A6F6" w14:textId="44824471"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7"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第二条）</w:t>
      </w:r>
    </w:p>
    <w:p w14:paraId="12E70236"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第三条</w:t>
      </w:r>
      <w:r w:rsidRPr="00A907D9">
        <w:rPr>
          <w:rFonts w:asciiTheme="minorEastAsia" w:eastAsiaTheme="minorEastAsia" w:hAnsiTheme="minorEastAsia" w:hint="eastAsia"/>
          <w:strike/>
          <w:color w:val="000000" w:themeColor="text1"/>
        </w:rPr>
        <w:t>  资源税应纳税额按</w:t>
      </w:r>
      <w:proofErr w:type="gramStart"/>
      <w:r w:rsidRPr="00A907D9">
        <w:rPr>
          <w:rFonts w:asciiTheme="minorEastAsia" w:eastAsiaTheme="minorEastAsia" w:hAnsiTheme="minorEastAsia" w:hint="eastAsia"/>
          <w:strike/>
          <w:color w:val="000000" w:themeColor="text1"/>
        </w:rPr>
        <w:t>照应税</w:t>
      </w:r>
      <w:proofErr w:type="gramEnd"/>
      <w:r w:rsidRPr="00A907D9">
        <w:rPr>
          <w:rFonts w:asciiTheme="minorEastAsia" w:eastAsiaTheme="minorEastAsia" w:hAnsiTheme="minorEastAsia" w:hint="eastAsia"/>
          <w:strike/>
          <w:color w:val="000000" w:themeColor="text1"/>
        </w:rPr>
        <w:t>产品的计税销售额或者销售数量乘以适用税率计算。</w:t>
      </w:r>
    </w:p>
    <w:p w14:paraId="434C9919" w14:textId="50DF3D74"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bookmarkStart w:id="2" w:name="_Hlk25690392"/>
      <w:r w:rsidRPr="00A907D9">
        <w:rPr>
          <w:rFonts w:asciiTheme="minorEastAsia" w:hAnsiTheme="minorEastAsia" w:hint="eastAsia"/>
          <w:strike/>
          <w:color w:val="000000" w:themeColor="text1"/>
          <w:sz w:val="24"/>
          <w:szCs w:val="24"/>
        </w:rPr>
        <w:t>（</w:t>
      </w:r>
      <w:hyperlink r:id="rId8"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第三条第一款）</w:t>
      </w:r>
    </w:p>
    <w:bookmarkEnd w:id="2"/>
    <w:p w14:paraId="6C9A38DC"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计税销售额是指纳税人销售应税产品向购买方收取的全部价款和价外费用，不包括增值税销项税额。</w:t>
      </w:r>
    </w:p>
    <w:p w14:paraId="73843586" w14:textId="414425A5"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9"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第三条第二款）</w:t>
      </w:r>
    </w:p>
    <w:p w14:paraId="32063B35"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计税销售数量是指从量计征的应税产品销售数量。</w:t>
      </w:r>
    </w:p>
    <w:p w14:paraId="341A3EE4" w14:textId="60E86D33"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0"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第三条第三款）</w:t>
      </w:r>
    </w:p>
    <w:p w14:paraId="6DEB741C"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原矿和精矿的销售额或者销售量应当分别核算，未分别核算的，从高确定计税销售额或者销售数量。</w:t>
      </w:r>
    </w:p>
    <w:p w14:paraId="7CD25AB7" w14:textId="195645CA"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1"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第三条第四款）</w:t>
      </w:r>
    </w:p>
    <w:p w14:paraId="2CEF2B1F"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lastRenderedPageBreak/>
        <w:t>纳税人开采或者生产不同税目应税产品的，应当分别核算不同税目应税产品的销售额或者销售数量；未分别核算或者不能准确提供不同税目应税产品的销售额或者销售数量的，从高适用税率。</w:t>
      </w:r>
    </w:p>
    <w:p w14:paraId="6E561BDA" w14:textId="54839C45"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2"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第三条第五款）</w:t>
      </w:r>
    </w:p>
    <w:p w14:paraId="787760FE"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p>
    <w:p w14:paraId="16D0F892" w14:textId="77777777" w:rsidR="00A30A24" w:rsidRPr="00A907D9" w:rsidRDefault="00A30A24" w:rsidP="00A30A24">
      <w:pPr>
        <w:pStyle w:val="2"/>
        <w:spacing w:beforeLines="50" w:before="156" w:after="0" w:line="440" w:lineRule="atLeast"/>
        <w:jc w:val="center"/>
        <w:rPr>
          <w:rStyle w:val="ab"/>
          <w:rFonts w:asciiTheme="minorEastAsia" w:eastAsiaTheme="minorEastAsia" w:hAnsiTheme="minorEastAsia"/>
          <w:strike/>
          <w:color w:val="000000" w:themeColor="text1"/>
          <w:sz w:val="24"/>
          <w:szCs w:val="24"/>
        </w:rPr>
      </w:pPr>
      <w:r w:rsidRPr="00A907D9">
        <w:rPr>
          <w:rStyle w:val="ab"/>
          <w:rFonts w:asciiTheme="minorEastAsia" w:eastAsiaTheme="minorEastAsia" w:hAnsiTheme="minorEastAsia" w:hint="eastAsia"/>
          <w:strike/>
          <w:color w:val="000000" w:themeColor="text1"/>
          <w:sz w:val="24"/>
          <w:szCs w:val="24"/>
        </w:rPr>
        <w:t>第二章  税源管理</w:t>
      </w:r>
    </w:p>
    <w:p w14:paraId="69DCBC19"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 </w:t>
      </w:r>
    </w:p>
    <w:p w14:paraId="5428FAB9"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第四条</w:t>
      </w:r>
      <w:r w:rsidRPr="00A907D9">
        <w:rPr>
          <w:rFonts w:asciiTheme="minorEastAsia" w:eastAsiaTheme="minorEastAsia" w:hAnsiTheme="minorEastAsia" w:hint="eastAsia"/>
          <w:strike/>
          <w:color w:val="000000" w:themeColor="text1"/>
        </w:rPr>
        <w:t>  计税销售额或者销售数量，包括应税产品实际销售和视同销售两部分。视同销售包括以下情形：</w:t>
      </w:r>
    </w:p>
    <w:p w14:paraId="43277DC6"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（一）纳税人以自采原矿直接加工为非应税产品的，视同原矿销售；</w:t>
      </w:r>
    </w:p>
    <w:p w14:paraId="5D10E45A" w14:textId="2CB67CC2"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3"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第四条第一款）</w:t>
      </w:r>
    </w:p>
    <w:p w14:paraId="6C153F36"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（二）纳税人以自采原矿洗选（加工）后的精矿连续生产非应税产品的，视同精矿销售；</w:t>
      </w:r>
    </w:p>
    <w:p w14:paraId="0626F7C0" w14:textId="50594822"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4"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第四条第二款）</w:t>
      </w:r>
    </w:p>
    <w:p w14:paraId="1FFB416A"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（三）以应税产品投资、分配、抵债、赠与、以物易物等，视同应税产品销售。</w:t>
      </w:r>
    </w:p>
    <w:p w14:paraId="05094FFC" w14:textId="2E8004E6"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5"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第四条第三款）</w:t>
      </w:r>
    </w:p>
    <w:p w14:paraId="514E2D2B"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第五条</w:t>
      </w:r>
      <w:r w:rsidRPr="00A907D9">
        <w:rPr>
          <w:rFonts w:asciiTheme="minorEastAsia" w:eastAsiaTheme="minorEastAsia" w:hAnsiTheme="minorEastAsia" w:hint="eastAsia"/>
          <w:strike/>
          <w:color w:val="000000" w:themeColor="text1"/>
        </w:rPr>
        <w:t>  纳税人有视同销售应税产品行为而无销售价格的，或者申报的应税产品销售价格明显偏低且无正当理由的，税务机关应按下列顺序确定其应税产品计税价格：</w:t>
      </w:r>
    </w:p>
    <w:p w14:paraId="3F27B46C"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（一）按纳税人最近时期同类产品的平均销售价格确定。</w:t>
      </w:r>
    </w:p>
    <w:p w14:paraId="714158FD" w14:textId="46625F91"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6"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第五条第一款）</w:t>
      </w:r>
    </w:p>
    <w:p w14:paraId="72FFE63B"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（二）按其他纳税人最近时期同类产品的平均销售价格确定。</w:t>
      </w:r>
    </w:p>
    <w:p w14:paraId="5E305D3E" w14:textId="051DF16B"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7"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第五条第二款）</w:t>
      </w:r>
    </w:p>
    <w:p w14:paraId="0075FE73"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（三）按应税产品组成计税价格确定。</w:t>
      </w:r>
    </w:p>
    <w:p w14:paraId="49AF3CF8"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lastRenderedPageBreak/>
        <w:t>组成计税价格＝成本×（1+成本利润率）÷（1-资源税税率）</w:t>
      </w:r>
    </w:p>
    <w:p w14:paraId="62C2E2F7" w14:textId="472AC5C4"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8"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第五条第三款）</w:t>
      </w:r>
    </w:p>
    <w:p w14:paraId="698A001C"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（四）按后续加工非应税产品销售价格，减去后续加工环节的成本利润后确定。</w:t>
      </w:r>
    </w:p>
    <w:p w14:paraId="6E331EF7" w14:textId="754BC779"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19"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第五条第四款）</w:t>
      </w:r>
    </w:p>
    <w:p w14:paraId="3A37E00B"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（五）按其他合理方法确定。</w:t>
      </w:r>
    </w:p>
    <w:p w14:paraId="0C9AD8A5" w14:textId="5412904E"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20"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第五条第五款）</w:t>
      </w:r>
    </w:p>
    <w:p w14:paraId="2B75F2D5"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第六条</w:t>
      </w:r>
      <w:r w:rsidRPr="00A907D9">
        <w:rPr>
          <w:rFonts w:asciiTheme="minorEastAsia" w:eastAsiaTheme="minorEastAsia" w:hAnsiTheme="minorEastAsia" w:hint="eastAsia"/>
          <w:strike/>
          <w:color w:val="000000" w:themeColor="text1"/>
        </w:rPr>
        <w:t>  纳税人与其关联企业之间的业务往来，应当按照独立企业之间的业务往来收取或者支付价款、费用。不按照独立企业之间的业务往来收取或者支付价款、费用，而减少其计税销售额的，税务机关可以按照《中华人民共和国税收征收管理法》及其实施细则的有关规定进行合理调整。</w:t>
      </w:r>
    </w:p>
    <w:p w14:paraId="66F19464" w14:textId="3E51428A"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21"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第六条）</w:t>
      </w:r>
    </w:p>
    <w:p w14:paraId="5CD6B750"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第七条</w:t>
      </w:r>
      <w:r w:rsidRPr="00A907D9">
        <w:rPr>
          <w:rFonts w:asciiTheme="minorEastAsia" w:eastAsiaTheme="minorEastAsia" w:hAnsiTheme="minorEastAsia" w:hint="eastAsia"/>
          <w:strike/>
          <w:color w:val="000000" w:themeColor="text1"/>
        </w:rPr>
        <w:t>  对同时符合以下条件的运杂费用，纳税人在计算应税产品计税销售额时，可予以扣减：</w:t>
      </w:r>
    </w:p>
    <w:p w14:paraId="344362FC"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（一）包含在应税产品销售收入中；</w:t>
      </w:r>
    </w:p>
    <w:p w14:paraId="18393F1B" w14:textId="4959F10A"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bookmarkStart w:id="3" w:name="_Hlk25690495"/>
      <w:r w:rsidRPr="00A907D9">
        <w:rPr>
          <w:rFonts w:asciiTheme="minorEastAsia" w:hAnsiTheme="minorEastAsia" w:hint="eastAsia"/>
          <w:strike/>
          <w:color w:val="000000" w:themeColor="text1"/>
          <w:sz w:val="24"/>
          <w:szCs w:val="24"/>
        </w:rPr>
        <w:t>（</w:t>
      </w:r>
      <w:hyperlink r:id="rId22"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第七条第一款第一项）</w:t>
      </w:r>
    </w:p>
    <w:bookmarkEnd w:id="3"/>
    <w:p w14:paraId="6736B550"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（二）属于纳税人销售应税产品环节发生的运杂费用，具体是指运送应税产品从坑口或者洗选（加工）地到车站、码头或者购买方指定地点的运杂费用；</w:t>
      </w:r>
    </w:p>
    <w:p w14:paraId="38D6BB58" w14:textId="5E0B0225"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23"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第七条第一款第二项）</w:t>
      </w:r>
    </w:p>
    <w:p w14:paraId="20DDED6C"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（三）取得相关运杂费用发票或者其他合法有效凭据；</w:t>
      </w:r>
    </w:p>
    <w:p w14:paraId="7CEA0286" w14:textId="4D972366"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24" w:history="1">
        <w:r w:rsidR="00A907D9" w:rsidRPr="00A907D9">
          <w:rPr>
            <w:rStyle w:val="a7"/>
            <w:rFonts w:asciiTheme="minorEastAsia" w:hAnsiTheme="minorEastAsia" w:hint="eastAsia"/>
            <w:strike/>
            <w:sz w:val="24"/>
            <w:szCs w:val="24"/>
          </w:rPr>
          <w:t>国家税务总局公告2018年第13号</w:t>
        </w:r>
      </w:hyperlink>
      <w:r w:rsidRPr="00A907D9">
        <w:rPr>
          <w:rFonts w:asciiTheme="minorEastAsia" w:hAnsiTheme="minorEastAsia" w:hint="eastAsia"/>
          <w:strike/>
          <w:color w:val="000000" w:themeColor="text1"/>
          <w:sz w:val="24"/>
          <w:szCs w:val="24"/>
        </w:rPr>
        <w:t>第七条第一款第三项）</w:t>
      </w:r>
    </w:p>
    <w:p w14:paraId="386FDB05"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（四）将运杂费用与计税销售额分别进行核算。</w:t>
      </w:r>
    </w:p>
    <w:p w14:paraId="363230E6"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25"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第七条第一款第四项）</w:t>
      </w:r>
    </w:p>
    <w:p w14:paraId="3E8AB87A"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纳税人扣减的运杂费用明显偏高导致应税产品价格偏低且无正当理由的，主管税务机关可以合理调整计税价格。</w:t>
      </w:r>
    </w:p>
    <w:p w14:paraId="6AD400C0"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lastRenderedPageBreak/>
        <w:t>（</w:t>
      </w:r>
      <w:hyperlink r:id="rId26"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第七条第二款）</w:t>
      </w:r>
    </w:p>
    <w:p w14:paraId="622DBD2F"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第八条</w:t>
      </w:r>
      <w:r w:rsidRPr="00A907D9">
        <w:rPr>
          <w:rFonts w:asciiTheme="minorEastAsia" w:eastAsiaTheme="minorEastAsia" w:hAnsiTheme="minorEastAsia" w:hint="eastAsia"/>
          <w:strike/>
          <w:color w:val="000000" w:themeColor="text1"/>
        </w:rPr>
        <w:t>  为公平原矿与精矿之间的税负，对同一种应税产品，征税对象为精矿的，纳税人销售原矿时，应将原矿销售额换算为精矿销售额缴纳资源税；征税对象为原矿的，纳税人销售自采原矿加工的精矿，应将精矿销售额折算为原矿销售额缴纳资源税。</w:t>
      </w:r>
    </w:p>
    <w:p w14:paraId="0FBFA299"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27"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第八条）</w:t>
      </w:r>
    </w:p>
    <w:p w14:paraId="45CD77FC"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第九条</w:t>
      </w:r>
      <w:r w:rsidRPr="00A907D9">
        <w:rPr>
          <w:rFonts w:asciiTheme="minorEastAsia" w:eastAsiaTheme="minorEastAsia" w:hAnsiTheme="minorEastAsia" w:hint="eastAsia"/>
          <w:strike/>
          <w:color w:val="000000" w:themeColor="text1"/>
        </w:rPr>
        <w:t>  纳税人以自</w:t>
      </w:r>
      <w:proofErr w:type="gramStart"/>
      <w:r w:rsidRPr="00A907D9">
        <w:rPr>
          <w:rFonts w:asciiTheme="minorEastAsia" w:eastAsiaTheme="minorEastAsia" w:hAnsiTheme="minorEastAsia" w:hint="eastAsia"/>
          <w:strike/>
          <w:color w:val="000000" w:themeColor="text1"/>
        </w:rPr>
        <w:t>采未税</w:t>
      </w:r>
      <w:proofErr w:type="gramEnd"/>
      <w:r w:rsidRPr="00A907D9">
        <w:rPr>
          <w:rFonts w:asciiTheme="minorEastAsia" w:eastAsiaTheme="minorEastAsia" w:hAnsiTheme="minorEastAsia" w:hint="eastAsia"/>
          <w:strike/>
          <w:color w:val="000000" w:themeColor="text1"/>
        </w:rPr>
        <w:t>产品和外购已税产品混合销售或者混合加工为应税产品销售的，在计算应税产品计税销售额时，准予扣减已单独核算的已税产品购进金额；未单独核算的，一并计算缴纳资源税。已税产品购进金额当期不足扣减的可结转下期扣减。</w:t>
      </w:r>
    </w:p>
    <w:p w14:paraId="7680E56C"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bookmarkStart w:id="4" w:name="_Hlk25690541"/>
      <w:r w:rsidRPr="00A907D9">
        <w:rPr>
          <w:rFonts w:asciiTheme="minorEastAsia" w:hAnsiTheme="minorEastAsia" w:hint="eastAsia"/>
          <w:strike/>
          <w:color w:val="000000" w:themeColor="text1"/>
          <w:sz w:val="24"/>
          <w:szCs w:val="24"/>
        </w:rPr>
        <w:t>（</w:t>
      </w:r>
      <w:hyperlink r:id="rId28"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第九条第一款）</w:t>
      </w:r>
    </w:p>
    <w:bookmarkEnd w:id="4"/>
    <w:p w14:paraId="49EE4922"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外购原矿或者精矿形态的已税产品与本产品征税对象不同的，在计算应税产品计税销售额时，应对混合销售额或者外购已税产品的购进金额进行换算或者折算。</w:t>
      </w:r>
    </w:p>
    <w:p w14:paraId="55788294"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29"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第九条第二款）</w:t>
      </w:r>
    </w:p>
    <w:p w14:paraId="0B3650D2"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第十条</w:t>
      </w:r>
      <w:r w:rsidRPr="00A907D9">
        <w:rPr>
          <w:rFonts w:asciiTheme="minorEastAsia" w:eastAsiaTheme="minorEastAsia" w:hAnsiTheme="minorEastAsia" w:hint="eastAsia"/>
          <w:strike/>
          <w:color w:val="000000" w:themeColor="text1"/>
        </w:rPr>
        <w:t>  纳税人核算并扣减当期外购已税产品购进金额，应依据外购已税产品的增值税发票、海关进口增值税专用缴款书或者其他合法有效凭据。</w:t>
      </w:r>
    </w:p>
    <w:p w14:paraId="3DC72EBA"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30"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第十条）</w:t>
      </w:r>
    </w:p>
    <w:p w14:paraId="1D587661"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第十一条</w:t>
      </w:r>
      <w:r w:rsidRPr="00A907D9">
        <w:rPr>
          <w:rFonts w:asciiTheme="minorEastAsia" w:eastAsiaTheme="minorEastAsia" w:hAnsiTheme="minorEastAsia" w:hint="eastAsia"/>
          <w:strike/>
          <w:color w:val="000000" w:themeColor="text1"/>
        </w:rPr>
        <w:t>  纳税人用于扣减运杂费用及外购已税产品购进金额的凭据，应按照《中华人民共和国税收征收管理法实施细则》第二十九条规定妥善保存。</w:t>
      </w:r>
    </w:p>
    <w:p w14:paraId="65C234C9"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31"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第十一条）</w:t>
      </w:r>
    </w:p>
    <w:p w14:paraId="66700325"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第十二条</w:t>
      </w:r>
      <w:r w:rsidRPr="00A907D9">
        <w:rPr>
          <w:rFonts w:asciiTheme="minorEastAsia" w:eastAsiaTheme="minorEastAsia" w:hAnsiTheme="minorEastAsia" w:hint="eastAsia"/>
          <w:strike/>
          <w:color w:val="000000" w:themeColor="text1"/>
        </w:rPr>
        <w:t>  资源税在应税产品销售或者自用环节计算缴纳。纳税人以自采原矿加工精矿产品的，在原矿移送使用时不缴纳资源税，在精矿销售或者自用时缴纳资源税。</w:t>
      </w:r>
    </w:p>
    <w:p w14:paraId="72359381"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bookmarkStart w:id="5" w:name="_Hlk25690584"/>
      <w:r w:rsidRPr="00A907D9">
        <w:rPr>
          <w:rFonts w:asciiTheme="minorEastAsia" w:hAnsiTheme="minorEastAsia" w:hint="eastAsia"/>
          <w:strike/>
          <w:color w:val="000000" w:themeColor="text1"/>
          <w:sz w:val="24"/>
          <w:szCs w:val="24"/>
        </w:rPr>
        <w:t>（</w:t>
      </w:r>
      <w:hyperlink r:id="rId32"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第十二条第一款）</w:t>
      </w:r>
    </w:p>
    <w:bookmarkEnd w:id="5"/>
    <w:p w14:paraId="0C68BFBE"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纳税人以自采原矿直接加工为非应税产品或者以自采原矿加工的精矿连续生产非应税产品的，在原矿或者精矿移送环节计算缴纳资源税。</w:t>
      </w:r>
    </w:p>
    <w:p w14:paraId="29908383"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lastRenderedPageBreak/>
        <w:t>（</w:t>
      </w:r>
      <w:hyperlink r:id="rId33"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第十二条第二款）</w:t>
      </w:r>
    </w:p>
    <w:p w14:paraId="281207DE"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以应税产品投资、分配、抵债、赠与、以物易物等，在应税产品所有权转移时计算缴纳资源税。</w:t>
      </w:r>
    </w:p>
    <w:p w14:paraId="56C489DE"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34"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第十二条第三款）</w:t>
      </w:r>
    </w:p>
    <w:p w14:paraId="4CE9E8A8"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p>
    <w:p w14:paraId="448F5B29" w14:textId="77777777" w:rsidR="00A30A24" w:rsidRPr="00A907D9" w:rsidRDefault="00A30A24" w:rsidP="00A30A24">
      <w:pPr>
        <w:pStyle w:val="2"/>
        <w:spacing w:beforeLines="50" w:before="156" w:after="0" w:line="440" w:lineRule="atLeast"/>
        <w:jc w:val="center"/>
        <w:rPr>
          <w:rStyle w:val="ab"/>
          <w:rFonts w:asciiTheme="minorEastAsia" w:eastAsiaTheme="minorEastAsia" w:hAnsiTheme="minorEastAsia"/>
          <w:strike/>
          <w:color w:val="000000" w:themeColor="text1"/>
          <w:sz w:val="24"/>
          <w:szCs w:val="24"/>
        </w:rPr>
      </w:pPr>
      <w:r w:rsidRPr="00A907D9">
        <w:rPr>
          <w:rStyle w:val="ab"/>
          <w:rFonts w:asciiTheme="minorEastAsia" w:eastAsiaTheme="minorEastAsia" w:hAnsiTheme="minorEastAsia" w:hint="eastAsia"/>
          <w:strike/>
          <w:color w:val="000000" w:themeColor="text1"/>
          <w:sz w:val="24"/>
          <w:szCs w:val="24"/>
        </w:rPr>
        <w:t>第三章  纳税申报及减免税管理</w:t>
      </w:r>
    </w:p>
    <w:p w14:paraId="4AA8FD79"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 </w:t>
      </w:r>
    </w:p>
    <w:p w14:paraId="5010F308"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第十三条</w:t>
      </w:r>
      <w:r w:rsidRPr="00A907D9">
        <w:rPr>
          <w:rFonts w:asciiTheme="minorEastAsia" w:eastAsiaTheme="minorEastAsia" w:hAnsiTheme="minorEastAsia" w:hint="eastAsia"/>
          <w:strike/>
          <w:color w:val="000000" w:themeColor="text1"/>
        </w:rPr>
        <w:t>  各地税务机关要认真做好纳税辅导工作，指导纳税人规范填报《资源税纳税申报表》，优化纳税服务。</w:t>
      </w:r>
    </w:p>
    <w:p w14:paraId="35485F36"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35"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第十三条）</w:t>
      </w:r>
    </w:p>
    <w:p w14:paraId="34796446"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第十四条</w:t>
      </w:r>
      <w:r w:rsidRPr="00A907D9">
        <w:rPr>
          <w:rFonts w:asciiTheme="minorEastAsia" w:eastAsiaTheme="minorEastAsia" w:hAnsiTheme="minorEastAsia" w:hint="eastAsia"/>
          <w:strike/>
          <w:color w:val="000000" w:themeColor="text1"/>
        </w:rPr>
        <w:t>  各地税务机关要严格落实《资源税纳税申报表》（</w:t>
      </w:r>
      <w:proofErr w:type="gramStart"/>
      <w:r w:rsidRPr="00A907D9">
        <w:rPr>
          <w:rFonts w:asciiTheme="minorEastAsia" w:eastAsiaTheme="minorEastAsia" w:hAnsiTheme="minorEastAsia" w:hint="eastAsia"/>
          <w:strike/>
          <w:color w:val="000000" w:themeColor="text1"/>
        </w:rPr>
        <w:t>不</w:t>
      </w:r>
      <w:proofErr w:type="gramEnd"/>
      <w:r w:rsidRPr="00A907D9">
        <w:rPr>
          <w:rFonts w:asciiTheme="minorEastAsia" w:eastAsiaTheme="minorEastAsia" w:hAnsiTheme="minorEastAsia" w:hint="eastAsia"/>
          <w:strike/>
          <w:color w:val="000000" w:themeColor="text1"/>
        </w:rPr>
        <w:t>含水资源税）的申报要求，不得要求纳税人额外增加报送资料。改进资源税优惠备案方式，2018年10月底前将资源税优惠资料由报送税务机关改为纳税人自行判别填报《资源税纳税申报表》附表（三），并将相关资料留存备查。</w:t>
      </w:r>
    </w:p>
    <w:p w14:paraId="30089A1D"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36"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第十四条）</w:t>
      </w:r>
    </w:p>
    <w:p w14:paraId="550D055A"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第十五条</w:t>
      </w:r>
      <w:r w:rsidRPr="00A907D9">
        <w:rPr>
          <w:rFonts w:asciiTheme="minorEastAsia" w:eastAsiaTheme="minorEastAsia" w:hAnsiTheme="minorEastAsia" w:hint="eastAsia"/>
          <w:strike/>
          <w:color w:val="000000" w:themeColor="text1"/>
        </w:rPr>
        <w:t>  各地税务机关应按照国务院深化“放管服”改革的总体要求和《中华人民共和国资源税暂行条例》规定，明确纳税人按月、按季、按日或者按次申报缴纳资源税，进一步优化纳税服务。</w:t>
      </w:r>
    </w:p>
    <w:p w14:paraId="6F933E16"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37"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第十五条）</w:t>
      </w:r>
    </w:p>
    <w:p w14:paraId="7EC1BD83"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第十六条</w:t>
      </w:r>
      <w:r w:rsidRPr="00A907D9">
        <w:rPr>
          <w:rFonts w:asciiTheme="minorEastAsia" w:eastAsiaTheme="minorEastAsia" w:hAnsiTheme="minorEastAsia" w:hint="eastAsia"/>
          <w:strike/>
          <w:color w:val="000000" w:themeColor="text1"/>
        </w:rPr>
        <w:t>  各地税务机关要指导纳税人做好资源税减免税申报工作，落实减免税政策。</w:t>
      </w:r>
    </w:p>
    <w:p w14:paraId="69903D9A"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bookmarkStart w:id="6" w:name="_Hlk25690721"/>
      <w:r w:rsidRPr="00A907D9">
        <w:rPr>
          <w:rFonts w:asciiTheme="minorEastAsia" w:hAnsiTheme="minorEastAsia" w:hint="eastAsia"/>
          <w:strike/>
          <w:color w:val="000000" w:themeColor="text1"/>
          <w:sz w:val="24"/>
          <w:szCs w:val="24"/>
        </w:rPr>
        <w:t>（</w:t>
      </w:r>
      <w:hyperlink r:id="rId38"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第十六条）</w:t>
      </w:r>
    </w:p>
    <w:bookmarkEnd w:id="6"/>
    <w:p w14:paraId="5D983641"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第十七条</w:t>
      </w:r>
      <w:r w:rsidRPr="00A907D9">
        <w:rPr>
          <w:rFonts w:asciiTheme="minorEastAsia" w:eastAsiaTheme="minorEastAsia" w:hAnsiTheme="minorEastAsia" w:hint="eastAsia"/>
          <w:strike/>
          <w:color w:val="000000" w:themeColor="text1"/>
        </w:rPr>
        <w:t>  资源税减免实行分类管理。</w:t>
      </w:r>
    </w:p>
    <w:p w14:paraId="33663860"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一）符合《中华人民共和国资源税暂行条例》第七条第二项规定的减征或免征资源税情形的企业，可向主管税务机关提出，由省、自治区、直辖市人民政府决定，税务机关根据省、自治区、直辖市人民政府的决定，减征或免征资源税。</w:t>
      </w:r>
    </w:p>
    <w:p w14:paraId="738D8FC4"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bookmarkStart w:id="7" w:name="_Hlk25690735"/>
      <w:r w:rsidRPr="00A907D9">
        <w:rPr>
          <w:rFonts w:asciiTheme="minorEastAsia" w:hAnsiTheme="minorEastAsia" w:hint="eastAsia"/>
          <w:strike/>
          <w:color w:val="000000" w:themeColor="text1"/>
          <w:sz w:val="24"/>
          <w:szCs w:val="24"/>
        </w:rPr>
        <w:lastRenderedPageBreak/>
        <w:t>（</w:t>
      </w:r>
      <w:hyperlink r:id="rId39"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第十七条第一款）</w:t>
      </w:r>
    </w:p>
    <w:bookmarkEnd w:id="7"/>
    <w:p w14:paraId="18D14AB1"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（二）油气田企业按规定的减征比例填报，以纳税申报表及附表作为资源税减免备案资料。</w:t>
      </w:r>
    </w:p>
    <w:p w14:paraId="302B1EC6"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40"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第十七条第二款）</w:t>
      </w:r>
    </w:p>
    <w:p w14:paraId="01486DCC"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（三）其他应税产品开采或者生产企业，均通过备案形式向主管税务机关申报资源税减免。主管税务机关应建立完善后续管理制度，加强对资源税减免企业的跟踪管理。</w:t>
      </w:r>
    </w:p>
    <w:p w14:paraId="52A8D2BF"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41"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第十七条第三款）</w:t>
      </w:r>
    </w:p>
    <w:p w14:paraId="31A9C69A"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第十八条</w:t>
      </w:r>
      <w:r w:rsidRPr="00A907D9">
        <w:rPr>
          <w:rFonts w:asciiTheme="minorEastAsia" w:eastAsiaTheme="minorEastAsia" w:hAnsiTheme="minorEastAsia" w:hint="eastAsia"/>
          <w:strike/>
          <w:color w:val="000000" w:themeColor="text1"/>
        </w:rPr>
        <w:t xml:space="preserve">  </w:t>
      </w:r>
      <w:proofErr w:type="gramStart"/>
      <w:r w:rsidRPr="00A907D9">
        <w:rPr>
          <w:rFonts w:asciiTheme="minorEastAsia" w:eastAsiaTheme="minorEastAsia" w:hAnsiTheme="minorEastAsia" w:hint="eastAsia"/>
          <w:strike/>
          <w:color w:val="000000" w:themeColor="text1"/>
        </w:rPr>
        <w:t>购买未税矿产品</w:t>
      </w:r>
      <w:proofErr w:type="gramEnd"/>
      <w:r w:rsidRPr="00A907D9">
        <w:rPr>
          <w:rFonts w:asciiTheme="minorEastAsia" w:eastAsiaTheme="minorEastAsia" w:hAnsiTheme="minorEastAsia" w:hint="eastAsia"/>
          <w:strike/>
          <w:color w:val="000000" w:themeColor="text1"/>
        </w:rPr>
        <w:t>的单位，应当主动向主管税务机关办理扣缴税款登记，依法代扣代缴资源税。</w:t>
      </w:r>
    </w:p>
    <w:p w14:paraId="5934BF63"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42"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第十八条第一款）</w:t>
      </w:r>
    </w:p>
    <w:p w14:paraId="579F10B4"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资源税代扣代缴的适用范围应限定在除原油、天然气、煤炭以外的，税源小、零散、不定期开采等难以在采矿地申报缴纳资源税的矿产品。对已纳入开采地正常税务管理或者在销售矿产品时开具增值税发票的纳税人，不采用代扣代缴的征管方式。</w:t>
      </w:r>
    </w:p>
    <w:p w14:paraId="0C50BE22"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43"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第十八条第二款）</w:t>
      </w:r>
    </w:p>
    <w:p w14:paraId="109AD1AE"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p>
    <w:p w14:paraId="1E6AC3F3" w14:textId="77777777" w:rsidR="00A30A24" w:rsidRPr="00A907D9" w:rsidRDefault="00A30A24" w:rsidP="00A30A24">
      <w:pPr>
        <w:pStyle w:val="2"/>
        <w:spacing w:beforeLines="50" w:before="156" w:after="0" w:line="440" w:lineRule="atLeast"/>
        <w:jc w:val="center"/>
        <w:rPr>
          <w:rStyle w:val="ab"/>
          <w:rFonts w:asciiTheme="minorEastAsia" w:eastAsiaTheme="minorEastAsia" w:hAnsiTheme="minorEastAsia"/>
          <w:strike/>
          <w:color w:val="000000" w:themeColor="text1"/>
          <w:sz w:val="24"/>
          <w:szCs w:val="24"/>
        </w:rPr>
      </w:pPr>
      <w:r w:rsidRPr="00A907D9">
        <w:rPr>
          <w:rStyle w:val="ab"/>
          <w:rFonts w:asciiTheme="minorEastAsia" w:eastAsiaTheme="minorEastAsia" w:hAnsiTheme="minorEastAsia" w:hint="eastAsia"/>
          <w:strike/>
          <w:color w:val="000000" w:themeColor="text1"/>
          <w:sz w:val="24"/>
          <w:szCs w:val="24"/>
        </w:rPr>
        <w:t>第四章  部门协作与风险管理</w:t>
      </w:r>
    </w:p>
    <w:p w14:paraId="00EBFC8D"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 </w:t>
      </w:r>
    </w:p>
    <w:p w14:paraId="78445455"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第十九条</w:t>
      </w:r>
      <w:r w:rsidRPr="00A907D9">
        <w:rPr>
          <w:rFonts w:asciiTheme="minorEastAsia" w:eastAsiaTheme="minorEastAsia" w:hAnsiTheme="minorEastAsia" w:hint="eastAsia"/>
          <w:strike/>
          <w:color w:val="000000" w:themeColor="text1"/>
        </w:rPr>
        <w:t>  主管税务机关要加强资源税申报数据质量管理，定期评估纳税人申报数据质量，重点审核从量计征税目计税单位是否正确，从价计征税目申报单价是否合理，数据有无缺项等。</w:t>
      </w:r>
    </w:p>
    <w:p w14:paraId="70643A09"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44"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第十九条）</w:t>
      </w:r>
    </w:p>
    <w:p w14:paraId="50136C12"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第二十条</w:t>
      </w:r>
      <w:r w:rsidRPr="00A907D9">
        <w:rPr>
          <w:rFonts w:asciiTheme="minorEastAsia" w:eastAsiaTheme="minorEastAsia" w:hAnsiTheme="minorEastAsia" w:hint="eastAsia"/>
          <w:strike/>
          <w:color w:val="000000" w:themeColor="text1"/>
        </w:rPr>
        <w:t>  主管税务机关可以通过矿产品增值税发票比对、外部信息采集和部门协作等方式，探索创新以票控税、信息管税、综合治税的新内容、新途径，强化资源税源泉控管。</w:t>
      </w:r>
    </w:p>
    <w:p w14:paraId="1425D1AC"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bookmarkStart w:id="8" w:name="_Hlk25690788"/>
      <w:r w:rsidRPr="00A907D9">
        <w:rPr>
          <w:rFonts w:asciiTheme="minorEastAsia" w:hAnsiTheme="minorEastAsia" w:hint="eastAsia"/>
          <w:strike/>
          <w:color w:val="000000" w:themeColor="text1"/>
          <w:sz w:val="24"/>
          <w:szCs w:val="24"/>
        </w:rPr>
        <w:lastRenderedPageBreak/>
        <w:t>（</w:t>
      </w:r>
      <w:hyperlink r:id="rId45"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第二十条）</w:t>
      </w:r>
    </w:p>
    <w:bookmarkEnd w:id="8"/>
    <w:p w14:paraId="09E972E1"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第二十一条</w:t>
      </w:r>
      <w:r w:rsidRPr="00A907D9">
        <w:rPr>
          <w:rFonts w:asciiTheme="minorEastAsia" w:eastAsiaTheme="minorEastAsia" w:hAnsiTheme="minorEastAsia" w:hint="eastAsia"/>
          <w:strike/>
          <w:color w:val="000000" w:themeColor="text1"/>
        </w:rPr>
        <w:t>  主管税务机关可通过查询纳税人增值税发票存根联、记账联和发票领购簿等记载的信息与纳税人资源税申报信息进行关联比对，以识别纳税人在申报增值税的同时是否相应申报了资源税，或者其申报的计征资源税销售量、销售价格是否存在少报等风险问题，辅导纳税人不断提高纳税申报质量，防范或化解涉税风险。</w:t>
      </w:r>
    </w:p>
    <w:p w14:paraId="5BE8C87A"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46"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第二十一条）</w:t>
      </w:r>
    </w:p>
    <w:p w14:paraId="0C5FC6A4"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第二十二条</w:t>
      </w:r>
      <w:r w:rsidRPr="00A907D9">
        <w:rPr>
          <w:rFonts w:asciiTheme="minorEastAsia" w:eastAsiaTheme="minorEastAsia" w:hAnsiTheme="minorEastAsia" w:hint="eastAsia"/>
          <w:strike/>
          <w:color w:val="000000" w:themeColor="text1"/>
        </w:rPr>
        <w:t>  各级税务机关要主动与矿业管理部门、行业协会等有关部门沟通协作，实现信息共享，加强资源税事前事中事后管理。</w:t>
      </w:r>
    </w:p>
    <w:p w14:paraId="51543EA5"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47"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第二十二条）</w:t>
      </w:r>
    </w:p>
    <w:p w14:paraId="27F41B35"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第二十三条</w:t>
      </w:r>
      <w:r w:rsidRPr="00A907D9">
        <w:rPr>
          <w:rFonts w:asciiTheme="minorEastAsia" w:eastAsiaTheme="minorEastAsia" w:hAnsiTheme="minorEastAsia" w:hint="eastAsia"/>
          <w:strike/>
          <w:color w:val="000000" w:themeColor="text1"/>
        </w:rPr>
        <w:t>  各省、自治区、直辖市税务机关应当依托信息化管理技术，参照全国性或主要矿产品价格指数即时信息，以及当地相关主管部门矿产品即时价格信息，建立本地矿产资源价格监控体系。</w:t>
      </w:r>
    </w:p>
    <w:p w14:paraId="5AC47CDF"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48"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第二十三条）</w:t>
      </w:r>
    </w:p>
    <w:p w14:paraId="3EF74ED4"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 </w:t>
      </w:r>
    </w:p>
    <w:p w14:paraId="3097F05C" w14:textId="77777777" w:rsidR="00A30A24" w:rsidRPr="00A907D9" w:rsidRDefault="00A30A24" w:rsidP="00A30A24">
      <w:pPr>
        <w:pStyle w:val="2"/>
        <w:spacing w:beforeLines="50" w:before="156" w:after="0" w:line="440" w:lineRule="atLeast"/>
        <w:jc w:val="center"/>
        <w:rPr>
          <w:rStyle w:val="ab"/>
          <w:rFonts w:asciiTheme="minorEastAsia" w:eastAsiaTheme="minorEastAsia" w:hAnsiTheme="minorEastAsia"/>
          <w:strike/>
          <w:color w:val="000000" w:themeColor="text1"/>
          <w:sz w:val="24"/>
          <w:szCs w:val="24"/>
        </w:rPr>
      </w:pPr>
      <w:r w:rsidRPr="00A907D9">
        <w:rPr>
          <w:rStyle w:val="ab"/>
          <w:rFonts w:asciiTheme="minorEastAsia" w:eastAsiaTheme="minorEastAsia" w:hAnsiTheme="minorEastAsia" w:hint="eastAsia"/>
          <w:strike/>
          <w:color w:val="000000" w:themeColor="text1"/>
          <w:sz w:val="24"/>
          <w:szCs w:val="24"/>
        </w:rPr>
        <w:t>第五章  附则</w:t>
      </w:r>
    </w:p>
    <w:p w14:paraId="4FECCEFD" w14:textId="77777777" w:rsidR="00A30A24" w:rsidRPr="00A907D9" w:rsidRDefault="00A30A24" w:rsidP="00A30A24">
      <w:pPr>
        <w:pStyle w:val="a8"/>
        <w:shd w:val="clear" w:color="auto" w:fill="FFFFFF"/>
        <w:spacing w:beforeLines="50" w:before="156" w:afterLines="50" w:after="156" w:line="440" w:lineRule="atLeast"/>
        <w:ind w:firstLineChars="200" w:firstLine="480"/>
        <w:rPr>
          <w:rFonts w:asciiTheme="minorEastAsia" w:eastAsiaTheme="minorEastAsia" w:hAnsiTheme="minorEastAsia"/>
          <w:strike/>
          <w:color w:val="000000" w:themeColor="text1"/>
        </w:rPr>
      </w:pPr>
      <w:r w:rsidRPr="00A907D9">
        <w:rPr>
          <w:rFonts w:asciiTheme="minorEastAsia" w:eastAsiaTheme="minorEastAsia" w:hAnsiTheme="minorEastAsia" w:hint="eastAsia"/>
          <w:strike/>
          <w:color w:val="000000" w:themeColor="text1"/>
        </w:rPr>
        <w:t> </w:t>
      </w:r>
    </w:p>
    <w:p w14:paraId="4ACDAA62"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第二十四条</w:t>
      </w:r>
      <w:r w:rsidRPr="00A907D9">
        <w:rPr>
          <w:rFonts w:asciiTheme="minorEastAsia" w:eastAsiaTheme="minorEastAsia" w:hAnsiTheme="minorEastAsia" w:hint="eastAsia"/>
          <w:strike/>
          <w:color w:val="000000" w:themeColor="text1"/>
        </w:rPr>
        <w:t>  各省、自治区、直辖市和计划单列市税务局可以结合本地实际，根据本规程制定具体办法。</w:t>
      </w:r>
    </w:p>
    <w:p w14:paraId="4F0E4FB6"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49"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第二十四条）</w:t>
      </w:r>
    </w:p>
    <w:p w14:paraId="7314D859"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第二十五条</w:t>
      </w:r>
      <w:r w:rsidRPr="00A907D9">
        <w:rPr>
          <w:rFonts w:asciiTheme="minorEastAsia" w:eastAsiaTheme="minorEastAsia" w:hAnsiTheme="minorEastAsia" w:hint="eastAsia"/>
          <w:strike/>
          <w:color w:val="000000" w:themeColor="text1"/>
        </w:rPr>
        <w:t>  水资源税按照试点省份制定的办法征收管理。</w:t>
      </w:r>
    </w:p>
    <w:p w14:paraId="01BCC95E" w14:textId="77777777" w:rsidR="00A30A24" w:rsidRPr="00A907D9" w:rsidRDefault="00A30A24" w:rsidP="00A30A24">
      <w:pPr>
        <w:spacing w:beforeLines="50" w:before="156" w:afterLines="50" w:after="156" w:line="44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t>（</w:t>
      </w:r>
      <w:hyperlink r:id="rId50"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第二十五条）</w:t>
      </w:r>
    </w:p>
    <w:p w14:paraId="4285D884" w14:textId="77777777" w:rsidR="00A30A24" w:rsidRPr="00A907D9" w:rsidRDefault="00A30A24" w:rsidP="00A30A24">
      <w:pPr>
        <w:pStyle w:val="a8"/>
        <w:shd w:val="clear" w:color="auto" w:fill="FFFFFF"/>
        <w:spacing w:beforeLines="50" w:before="156" w:afterLines="50" w:after="156" w:line="440" w:lineRule="atLeast"/>
        <w:ind w:firstLineChars="200" w:firstLine="482"/>
        <w:rPr>
          <w:rFonts w:asciiTheme="minorEastAsia" w:eastAsiaTheme="minorEastAsia" w:hAnsiTheme="minorEastAsia"/>
          <w:strike/>
          <w:color w:val="000000" w:themeColor="text1"/>
        </w:rPr>
      </w:pPr>
      <w:r w:rsidRPr="00A907D9">
        <w:rPr>
          <w:rStyle w:val="ab"/>
          <w:rFonts w:asciiTheme="minorEastAsia" w:eastAsiaTheme="minorEastAsia" w:hAnsiTheme="minorEastAsia" w:hint="eastAsia"/>
          <w:strike/>
          <w:color w:val="000000" w:themeColor="text1"/>
        </w:rPr>
        <w:t>第二十六条 </w:t>
      </w:r>
      <w:r w:rsidRPr="00A907D9">
        <w:rPr>
          <w:rFonts w:asciiTheme="minorEastAsia" w:eastAsiaTheme="minorEastAsia" w:hAnsiTheme="minorEastAsia" w:hint="eastAsia"/>
          <w:strike/>
          <w:color w:val="000000" w:themeColor="text1"/>
        </w:rPr>
        <w:t xml:space="preserve"> 本规程自2018年7月1日起施行。</w:t>
      </w:r>
      <w:hyperlink r:id="rId51" w:history="1">
        <w:r w:rsidRPr="00A907D9">
          <w:rPr>
            <w:rStyle w:val="a7"/>
            <w:rFonts w:asciiTheme="minorEastAsia" w:eastAsiaTheme="minorEastAsia" w:hAnsiTheme="minorEastAsia" w:hint="eastAsia"/>
            <w:strike/>
            <w:color w:val="000000" w:themeColor="text1"/>
          </w:rPr>
          <w:t>《国家税务总局关于发布〈煤炭资源税征收管理办法（试行）〉的公告》（国家税务总局公告2015年第51号）</w:t>
        </w:r>
      </w:hyperlink>
      <w:r w:rsidRPr="00A907D9">
        <w:rPr>
          <w:rFonts w:asciiTheme="minorEastAsia" w:eastAsiaTheme="minorEastAsia" w:hAnsiTheme="minorEastAsia" w:hint="eastAsia"/>
          <w:strike/>
          <w:color w:val="000000" w:themeColor="text1"/>
        </w:rPr>
        <w:t>、</w:t>
      </w:r>
      <w:hyperlink r:id="rId52" w:history="1">
        <w:r w:rsidRPr="00A907D9">
          <w:rPr>
            <w:rStyle w:val="a7"/>
            <w:rFonts w:asciiTheme="minorEastAsia" w:eastAsiaTheme="minorEastAsia" w:hAnsiTheme="minorEastAsia" w:hint="eastAsia"/>
            <w:strike/>
            <w:color w:val="000000" w:themeColor="text1"/>
          </w:rPr>
          <w:t>《国家税务总局关于认定收购未税矿产品的个体户为资源税扣缴义务人的批复》（国税函〔2000〕733号）</w:t>
        </w:r>
      </w:hyperlink>
      <w:r w:rsidRPr="00A907D9">
        <w:rPr>
          <w:rFonts w:asciiTheme="minorEastAsia" w:eastAsiaTheme="minorEastAsia" w:hAnsiTheme="minorEastAsia" w:hint="eastAsia"/>
          <w:strike/>
          <w:color w:val="000000" w:themeColor="text1"/>
        </w:rPr>
        <w:t>同时废止。</w:t>
      </w:r>
    </w:p>
    <w:p w14:paraId="23D010BB" w14:textId="77777777" w:rsidR="00A30A24" w:rsidRPr="00A907D9" w:rsidRDefault="00A30A24" w:rsidP="00A907D9">
      <w:pPr>
        <w:spacing w:beforeLines="50" w:before="156" w:line="480" w:lineRule="atLeast"/>
        <w:jc w:val="right"/>
        <w:rPr>
          <w:rFonts w:asciiTheme="minorEastAsia" w:hAnsiTheme="minorEastAsia"/>
          <w:strike/>
          <w:color w:val="000000" w:themeColor="text1"/>
          <w:sz w:val="24"/>
          <w:szCs w:val="24"/>
        </w:rPr>
      </w:pPr>
      <w:r w:rsidRPr="00A907D9">
        <w:rPr>
          <w:rFonts w:asciiTheme="minorEastAsia" w:hAnsiTheme="minorEastAsia" w:hint="eastAsia"/>
          <w:strike/>
          <w:color w:val="000000" w:themeColor="text1"/>
          <w:sz w:val="24"/>
          <w:szCs w:val="24"/>
        </w:rPr>
        <w:lastRenderedPageBreak/>
        <w:t>（</w:t>
      </w:r>
      <w:hyperlink r:id="rId53" w:history="1">
        <w:r w:rsidRPr="00A907D9">
          <w:rPr>
            <w:rStyle w:val="a7"/>
            <w:rFonts w:asciiTheme="minorEastAsia" w:hAnsiTheme="minorEastAsia" w:hint="eastAsia"/>
            <w:strike/>
            <w:color w:val="000000" w:themeColor="text1"/>
            <w:sz w:val="24"/>
            <w:szCs w:val="24"/>
          </w:rPr>
          <w:t>国家税务总局公告2018年第13号</w:t>
        </w:r>
      </w:hyperlink>
      <w:r w:rsidRPr="00A907D9">
        <w:rPr>
          <w:rFonts w:asciiTheme="minorEastAsia" w:hAnsiTheme="minorEastAsia" w:hint="eastAsia"/>
          <w:strike/>
          <w:color w:val="000000" w:themeColor="text1"/>
          <w:sz w:val="24"/>
          <w:szCs w:val="24"/>
        </w:rPr>
        <w:t>第二十六条）</w:t>
      </w:r>
    </w:p>
    <w:p w14:paraId="30E317CA" w14:textId="2833F9B1" w:rsidR="00702362" w:rsidRPr="00A907D9" w:rsidRDefault="00A907D9" w:rsidP="00A907D9">
      <w:pPr>
        <w:spacing w:before="50" w:line="480" w:lineRule="atLeast"/>
        <w:ind w:firstLineChars="200" w:firstLine="480"/>
        <w:rPr>
          <w:rFonts w:asciiTheme="minorEastAsia" w:hAnsiTheme="minorEastAsia"/>
          <w:b/>
          <w:bCs/>
          <w:color w:val="000000" w:themeColor="text1"/>
          <w:kern w:val="44"/>
          <w:sz w:val="24"/>
          <w:szCs w:val="24"/>
        </w:rPr>
      </w:pPr>
      <w:r w:rsidRPr="00A907D9">
        <w:rPr>
          <w:rFonts w:hint="eastAsia"/>
          <w:color w:val="333333"/>
          <w:sz w:val="24"/>
          <w:szCs w:val="24"/>
          <w:shd w:val="clear" w:color="auto" w:fill="FFFFFF"/>
        </w:rPr>
        <w:t>[</w:t>
      </w:r>
      <w:hyperlink r:id="rId54" w:tgtFrame="_self" w:history="1">
        <w:r w:rsidRPr="00A907D9">
          <w:rPr>
            <w:rFonts w:hint="eastAsia"/>
            <w:color w:val="0070C0"/>
            <w:sz w:val="24"/>
            <w:szCs w:val="24"/>
            <w:u w:val="single"/>
            <w:shd w:val="clear" w:color="auto" w:fill="FFFFFF"/>
          </w:rPr>
          <w:t>国家税务总局公告</w:t>
        </w:r>
        <w:r w:rsidRPr="00A907D9">
          <w:rPr>
            <w:rFonts w:hint="eastAsia"/>
            <w:color w:val="0070C0"/>
            <w:sz w:val="24"/>
            <w:szCs w:val="24"/>
            <w:u w:val="single"/>
            <w:shd w:val="clear" w:color="auto" w:fill="FFFFFF"/>
          </w:rPr>
          <w:t>2020</w:t>
        </w:r>
        <w:r w:rsidRPr="00A907D9">
          <w:rPr>
            <w:rFonts w:hint="eastAsia"/>
            <w:color w:val="0070C0"/>
            <w:sz w:val="24"/>
            <w:szCs w:val="24"/>
            <w:u w:val="single"/>
            <w:shd w:val="clear" w:color="auto" w:fill="FFFFFF"/>
          </w:rPr>
          <w:t>年第</w:t>
        </w:r>
        <w:r w:rsidRPr="00A907D9">
          <w:rPr>
            <w:rFonts w:hint="eastAsia"/>
            <w:color w:val="0070C0"/>
            <w:sz w:val="24"/>
            <w:szCs w:val="24"/>
            <w:u w:val="single"/>
            <w:shd w:val="clear" w:color="auto" w:fill="FFFFFF"/>
          </w:rPr>
          <w:t>14</w:t>
        </w:r>
        <w:r w:rsidRPr="00A907D9">
          <w:rPr>
            <w:rFonts w:hint="eastAsia"/>
            <w:color w:val="0070C0"/>
            <w:sz w:val="24"/>
            <w:szCs w:val="24"/>
            <w:u w:val="single"/>
            <w:shd w:val="clear" w:color="auto" w:fill="FFFFFF"/>
          </w:rPr>
          <w:t>号</w:t>
        </w:r>
      </w:hyperlink>
      <w:r w:rsidRPr="00A907D9">
        <w:rPr>
          <w:rFonts w:hint="eastAsia"/>
          <w:color w:val="0070C0"/>
          <w:sz w:val="24"/>
          <w:szCs w:val="24"/>
          <w:shd w:val="clear" w:color="auto" w:fill="FFFFFF"/>
        </w:rPr>
        <w:t>规定，自</w:t>
      </w:r>
      <w:r w:rsidRPr="00A907D9">
        <w:rPr>
          <w:rFonts w:hint="eastAsia"/>
          <w:color w:val="0070C0"/>
          <w:sz w:val="24"/>
          <w:szCs w:val="24"/>
          <w:shd w:val="clear" w:color="auto" w:fill="FFFFFF"/>
        </w:rPr>
        <w:t>2020</w:t>
      </w:r>
      <w:r w:rsidRPr="00A907D9">
        <w:rPr>
          <w:rFonts w:hint="eastAsia"/>
          <w:color w:val="0070C0"/>
          <w:sz w:val="24"/>
          <w:szCs w:val="24"/>
          <w:shd w:val="clear" w:color="auto" w:fill="FFFFFF"/>
        </w:rPr>
        <w:t>年</w:t>
      </w:r>
      <w:r w:rsidRPr="00A907D9">
        <w:rPr>
          <w:rFonts w:hint="eastAsia"/>
          <w:color w:val="0070C0"/>
          <w:sz w:val="24"/>
          <w:szCs w:val="24"/>
          <w:shd w:val="clear" w:color="auto" w:fill="FFFFFF"/>
        </w:rPr>
        <w:t>9</w:t>
      </w:r>
      <w:r w:rsidRPr="00A907D9">
        <w:rPr>
          <w:rFonts w:hint="eastAsia"/>
          <w:color w:val="0070C0"/>
          <w:sz w:val="24"/>
          <w:szCs w:val="24"/>
          <w:shd w:val="clear" w:color="auto" w:fill="FFFFFF"/>
        </w:rPr>
        <w:t>月</w:t>
      </w:r>
      <w:r w:rsidRPr="00A907D9">
        <w:rPr>
          <w:rFonts w:hint="eastAsia"/>
          <w:color w:val="0070C0"/>
          <w:sz w:val="24"/>
          <w:szCs w:val="24"/>
          <w:shd w:val="clear" w:color="auto" w:fill="FFFFFF"/>
        </w:rPr>
        <w:t>1</w:t>
      </w:r>
      <w:r w:rsidRPr="00A907D9">
        <w:rPr>
          <w:rFonts w:hint="eastAsia"/>
          <w:color w:val="0070C0"/>
          <w:sz w:val="24"/>
          <w:szCs w:val="24"/>
          <w:shd w:val="clear" w:color="auto" w:fill="FFFFFF"/>
        </w:rPr>
        <w:t>日起，本文废止</w:t>
      </w:r>
      <w:r w:rsidRPr="00A907D9">
        <w:rPr>
          <w:rFonts w:hint="eastAsia"/>
          <w:color w:val="0070C0"/>
          <w:sz w:val="24"/>
          <w:szCs w:val="24"/>
          <w:shd w:val="clear" w:color="auto" w:fill="FFFFFF"/>
        </w:rPr>
        <w:t>]</w:t>
      </w:r>
    </w:p>
    <w:p w14:paraId="13146878" w14:textId="77777777" w:rsidR="00CD350D" w:rsidRPr="008E26C3" w:rsidRDefault="00CD350D" w:rsidP="00A907D9">
      <w:pPr>
        <w:spacing w:before="50" w:line="480" w:lineRule="atLeast"/>
        <w:rPr>
          <w:b/>
          <w:bCs/>
          <w:sz w:val="28"/>
          <w:szCs w:val="28"/>
        </w:rPr>
      </w:pPr>
    </w:p>
    <w:sectPr w:rsidR="00CD350D" w:rsidRPr="008E26C3">
      <w:footerReference w:type="default" r:id="rI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5FAD8" w14:textId="77777777" w:rsidR="00B27BD5" w:rsidRDefault="00B27BD5" w:rsidP="00E25568">
      <w:r>
        <w:separator/>
      </w:r>
    </w:p>
  </w:endnote>
  <w:endnote w:type="continuationSeparator" w:id="0">
    <w:p w14:paraId="3EE04956" w14:textId="77777777" w:rsidR="00B27BD5" w:rsidRDefault="00B27BD5" w:rsidP="00E2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0710247"/>
      <w:docPartObj>
        <w:docPartGallery w:val="Page Numbers (Bottom of Page)"/>
        <w:docPartUnique/>
      </w:docPartObj>
    </w:sdtPr>
    <w:sdtEndPr/>
    <w:sdtContent>
      <w:sdt>
        <w:sdtPr>
          <w:id w:val="-1669238322"/>
          <w:docPartObj>
            <w:docPartGallery w:val="Page Numbers (Top of Page)"/>
            <w:docPartUnique/>
          </w:docPartObj>
        </w:sdtPr>
        <w:sdtEndPr/>
        <w:sdtContent>
          <w:p w14:paraId="1589A332" w14:textId="77777777" w:rsidR="00E54E4A" w:rsidRDefault="00E54E4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30A24">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0A24">
              <w:rPr>
                <w:b/>
                <w:bCs/>
                <w:noProof/>
              </w:rPr>
              <w:t>8</w:t>
            </w:r>
            <w:r>
              <w:rPr>
                <w:b/>
                <w:bCs/>
                <w:sz w:val="24"/>
                <w:szCs w:val="24"/>
              </w:rPr>
              <w:fldChar w:fldCharType="end"/>
            </w:r>
          </w:p>
        </w:sdtContent>
      </w:sdt>
    </w:sdtContent>
  </w:sdt>
  <w:p w14:paraId="5C467E11" w14:textId="77777777" w:rsidR="00E54E4A" w:rsidRDefault="00E54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A682F" w14:textId="77777777" w:rsidR="00B27BD5" w:rsidRDefault="00B27BD5" w:rsidP="00E25568">
      <w:r>
        <w:separator/>
      </w:r>
    </w:p>
  </w:footnote>
  <w:footnote w:type="continuationSeparator" w:id="0">
    <w:p w14:paraId="1800AC81" w14:textId="77777777" w:rsidR="00B27BD5" w:rsidRDefault="00B27BD5" w:rsidP="00E2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E5A"/>
    <w:rsid w:val="00027072"/>
    <w:rsid w:val="001A6512"/>
    <w:rsid w:val="001A6612"/>
    <w:rsid w:val="002618D1"/>
    <w:rsid w:val="00412836"/>
    <w:rsid w:val="00477DA7"/>
    <w:rsid w:val="00486F4D"/>
    <w:rsid w:val="0049682E"/>
    <w:rsid w:val="00564092"/>
    <w:rsid w:val="005B5E5A"/>
    <w:rsid w:val="005E2F7E"/>
    <w:rsid w:val="006268B7"/>
    <w:rsid w:val="00702362"/>
    <w:rsid w:val="00855EE3"/>
    <w:rsid w:val="00945BCC"/>
    <w:rsid w:val="009A0641"/>
    <w:rsid w:val="00A30A24"/>
    <w:rsid w:val="00A46A9B"/>
    <w:rsid w:val="00A52679"/>
    <w:rsid w:val="00A80025"/>
    <w:rsid w:val="00A907D9"/>
    <w:rsid w:val="00AA1E78"/>
    <w:rsid w:val="00AE068E"/>
    <w:rsid w:val="00B025D6"/>
    <w:rsid w:val="00B27BD5"/>
    <w:rsid w:val="00C712D9"/>
    <w:rsid w:val="00CD350D"/>
    <w:rsid w:val="00D041F2"/>
    <w:rsid w:val="00D11016"/>
    <w:rsid w:val="00D13D22"/>
    <w:rsid w:val="00D7654E"/>
    <w:rsid w:val="00E13D9C"/>
    <w:rsid w:val="00E25568"/>
    <w:rsid w:val="00E5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A541E"/>
  <w15:docId w15:val="{2B822D2E-FB52-476F-8AF8-B92D4FBC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064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765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55EE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86F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7654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5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5568"/>
    <w:rPr>
      <w:sz w:val="18"/>
      <w:szCs w:val="18"/>
    </w:rPr>
  </w:style>
  <w:style w:type="paragraph" w:styleId="a5">
    <w:name w:val="footer"/>
    <w:basedOn w:val="a"/>
    <w:link w:val="a6"/>
    <w:uiPriority w:val="99"/>
    <w:unhideWhenUsed/>
    <w:rsid w:val="00E25568"/>
    <w:pPr>
      <w:tabs>
        <w:tab w:val="center" w:pos="4153"/>
        <w:tab w:val="right" w:pos="8306"/>
      </w:tabs>
      <w:snapToGrid w:val="0"/>
      <w:jc w:val="left"/>
    </w:pPr>
    <w:rPr>
      <w:sz w:val="18"/>
      <w:szCs w:val="18"/>
    </w:rPr>
  </w:style>
  <w:style w:type="character" w:customStyle="1" w:styleId="a6">
    <w:name w:val="页脚 字符"/>
    <w:basedOn w:val="a0"/>
    <w:link w:val="a5"/>
    <w:uiPriority w:val="99"/>
    <w:rsid w:val="00E25568"/>
    <w:rPr>
      <w:sz w:val="18"/>
      <w:szCs w:val="18"/>
    </w:rPr>
  </w:style>
  <w:style w:type="character" w:styleId="a7">
    <w:name w:val="Hyperlink"/>
    <w:basedOn w:val="a0"/>
    <w:uiPriority w:val="99"/>
    <w:unhideWhenUsed/>
    <w:rsid w:val="00E54E4A"/>
    <w:rPr>
      <w:color w:val="0000FF" w:themeColor="hyperlink"/>
      <w:u w:val="single"/>
    </w:rPr>
  </w:style>
  <w:style w:type="character" w:customStyle="1" w:styleId="40">
    <w:name w:val="标题 4 字符"/>
    <w:basedOn w:val="a0"/>
    <w:link w:val="4"/>
    <w:uiPriority w:val="9"/>
    <w:rsid w:val="00486F4D"/>
    <w:rPr>
      <w:rFonts w:asciiTheme="majorHAnsi" w:eastAsiaTheme="majorEastAsia" w:hAnsiTheme="majorHAnsi" w:cstheme="majorBidi"/>
      <w:b/>
      <w:bCs/>
      <w:sz w:val="28"/>
      <w:szCs w:val="28"/>
    </w:rPr>
  </w:style>
  <w:style w:type="paragraph" w:styleId="a8">
    <w:name w:val="Normal (Web)"/>
    <w:basedOn w:val="a"/>
    <w:uiPriority w:val="99"/>
    <w:unhideWhenUsed/>
    <w:rsid w:val="00486F4D"/>
    <w:pPr>
      <w:widowControl/>
      <w:jc w:val="left"/>
    </w:pPr>
    <w:rPr>
      <w:rFonts w:ascii="宋体" w:eastAsia="宋体" w:hAnsi="宋体" w:cs="宋体"/>
      <w:kern w:val="0"/>
      <w:sz w:val="24"/>
      <w:szCs w:val="24"/>
    </w:rPr>
  </w:style>
  <w:style w:type="paragraph" w:styleId="a9">
    <w:name w:val="Balloon Text"/>
    <w:basedOn w:val="a"/>
    <w:link w:val="aa"/>
    <w:uiPriority w:val="99"/>
    <w:semiHidden/>
    <w:unhideWhenUsed/>
    <w:rsid w:val="00486F4D"/>
    <w:rPr>
      <w:sz w:val="18"/>
      <w:szCs w:val="18"/>
    </w:rPr>
  </w:style>
  <w:style w:type="character" w:customStyle="1" w:styleId="aa">
    <w:name w:val="批注框文本 字符"/>
    <w:basedOn w:val="a0"/>
    <w:link w:val="a9"/>
    <w:uiPriority w:val="99"/>
    <w:semiHidden/>
    <w:rsid w:val="00486F4D"/>
    <w:rPr>
      <w:sz w:val="18"/>
      <w:szCs w:val="18"/>
    </w:rPr>
  </w:style>
  <w:style w:type="character" w:customStyle="1" w:styleId="10">
    <w:name w:val="标题 1 字符"/>
    <w:basedOn w:val="a0"/>
    <w:link w:val="1"/>
    <w:uiPriority w:val="9"/>
    <w:rsid w:val="009A0641"/>
    <w:rPr>
      <w:b/>
      <w:bCs/>
      <w:kern w:val="44"/>
      <w:sz w:val="44"/>
      <w:szCs w:val="44"/>
    </w:rPr>
  </w:style>
  <w:style w:type="character" w:customStyle="1" w:styleId="50">
    <w:name w:val="标题 5 字符"/>
    <w:basedOn w:val="a0"/>
    <w:link w:val="5"/>
    <w:uiPriority w:val="9"/>
    <w:rsid w:val="00D7654E"/>
    <w:rPr>
      <w:b/>
      <w:bCs/>
      <w:sz w:val="28"/>
      <w:szCs w:val="28"/>
    </w:rPr>
  </w:style>
  <w:style w:type="character" w:customStyle="1" w:styleId="20">
    <w:name w:val="标题 2 字符"/>
    <w:basedOn w:val="a0"/>
    <w:link w:val="2"/>
    <w:uiPriority w:val="9"/>
    <w:rsid w:val="00D7654E"/>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55EE3"/>
    <w:rPr>
      <w:b/>
      <w:bCs/>
      <w:sz w:val="32"/>
      <w:szCs w:val="32"/>
    </w:rPr>
  </w:style>
  <w:style w:type="paragraph" w:customStyle="1" w:styleId="CharCharChar">
    <w:name w:val="Char Char Char"/>
    <w:basedOn w:val="a"/>
    <w:rsid w:val="00D13D22"/>
    <w:rPr>
      <w:rFonts w:ascii="Tahoma" w:eastAsia="宋体" w:hAnsi="Tahoma" w:cs="Times New Roman"/>
      <w:sz w:val="24"/>
      <w:szCs w:val="20"/>
    </w:rPr>
  </w:style>
  <w:style w:type="character" w:styleId="ab">
    <w:name w:val="Strong"/>
    <w:basedOn w:val="a0"/>
    <w:uiPriority w:val="22"/>
    <w:qFormat/>
    <w:rsid w:val="00A30A24"/>
    <w:rPr>
      <w:b/>
      <w:bCs/>
    </w:rPr>
  </w:style>
  <w:style w:type="character" w:styleId="ac">
    <w:name w:val="Unresolved Mention"/>
    <w:basedOn w:val="a0"/>
    <w:uiPriority w:val="99"/>
    <w:semiHidden/>
    <w:unhideWhenUsed/>
    <w:rsid w:val="00A90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93.html" TargetMode="External"/><Relationship Id="rId18" Type="http://schemas.openxmlformats.org/officeDocument/2006/relationships/hyperlink" Target="http://ssfb86.com/index/News/detail/newsid/393.html" TargetMode="External"/><Relationship Id="rId26"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39"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21" Type="http://schemas.openxmlformats.org/officeDocument/2006/relationships/hyperlink" Target="http://ssfb86.com/index/News/detail/newsid/393.html" TargetMode="External"/><Relationship Id="rId34"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2"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7"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50"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55" Type="http://schemas.openxmlformats.org/officeDocument/2006/relationships/footer" Target="footer1.xml"/><Relationship Id="rId7" Type="http://schemas.openxmlformats.org/officeDocument/2006/relationships/hyperlink" Target="http://ssfb86.com/index/News/detail/newsid/393.html" TargetMode="External"/><Relationship Id="rId12" Type="http://schemas.openxmlformats.org/officeDocument/2006/relationships/hyperlink" Target="http://ssfb86.com/index/News/detail/newsid/393.html" TargetMode="External"/><Relationship Id="rId17" Type="http://schemas.openxmlformats.org/officeDocument/2006/relationships/hyperlink" Target="http://ssfb86.com/index/News/detail/newsid/393.html" TargetMode="External"/><Relationship Id="rId25"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33"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38"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6"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2" Type="http://schemas.openxmlformats.org/officeDocument/2006/relationships/settings" Target="settings.xml"/><Relationship Id="rId16" Type="http://schemas.openxmlformats.org/officeDocument/2006/relationships/hyperlink" Target="http://ssfb86.com/index/News/detail/newsid/393.html" TargetMode="External"/><Relationship Id="rId20" Type="http://schemas.openxmlformats.org/officeDocument/2006/relationships/hyperlink" Target="http://ssfb86.com/index/News/detail/newsid/393.html" TargetMode="External"/><Relationship Id="rId29"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1"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54" Type="http://schemas.openxmlformats.org/officeDocument/2006/relationships/hyperlink" Target="http://ssfb86.com/index/News/detail/newsid/7303.html" TargetMode="External"/><Relationship Id="rId1" Type="http://schemas.openxmlformats.org/officeDocument/2006/relationships/styles" Target="styles.xml"/><Relationship Id="rId6" Type="http://schemas.openxmlformats.org/officeDocument/2006/relationships/hyperlink" Target="../../2016&#24180;/5&#26376;/&#36130;&#31246;&#12308;2016&#12309;53&#21495;&#8212;&#8212;&#20851;&#20110;&#20840;&#38754;&#25512;&#36827;&#36164;&#28304;&#31246;&#25913;&#38761;&#30340;&#36890;&#30693;.docx" TargetMode="External"/><Relationship Id="rId11" Type="http://schemas.openxmlformats.org/officeDocument/2006/relationships/hyperlink" Target="http://ssfb86.com/index/News/detail/newsid/393.html" TargetMode="External"/><Relationship Id="rId24" Type="http://schemas.openxmlformats.org/officeDocument/2006/relationships/hyperlink" Target="http://ssfb86.com/index/News/detail/newsid/393.html" TargetMode="External"/><Relationship Id="rId32"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37"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0"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5"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53"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5" Type="http://schemas.openxmlformats.org/officeDocument/2006/relationships/endnotes" Target="endnotes.xml"/><Relationship Id="rId15" Type="http://schemas.openxmlformats.org/officeDocument/2006/relationships/hyperlink" Target="http://ssfb86.com/index/News/detail/newsid/393.html" TargetMode="External"/><Relationship Id="rId23" Type="http://schemas.openxmlformats.org/officeDocument/2006/relationships/hyperlink" Target="http://ssfb86.com/index/News/detail/newsid/393.html" TargetMode="External"/><Relationship Id="rId28"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36"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9"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57" Type="http://schemas.openxmlformats.org/officeDocument/2006/relationships/theme" Target="theme/theme1.xml"/><Relationship Id="rId10" Type="http://schemas.openxmlformats.org/officeDocument/2006/relationships/hyperlink" Target="http://ssfb86.com/index/News/detail/newsid/393.html" TargetMode="External"/><Relationship Id="rId19" Type="http://schemas.openxmlformats.org/officeDocument/2006/relationships/hyperlink" Target="http://ssfb86.com/index/News/detail/newsid/393.html" TargetMode="External"/><Relationship Id="rId31"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4"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52" Type="http://schemas.openxmlformats.org/officeDocument/2006/relationships/hyperlink" Target="../../2000&#24180;/9&#26376;/%5b&#20840;&#25991;&#24223;&#27490;%5d&#8212;&#8212;&#22269;&#31246;&#20989;%5b2000%5d733&#21495;&#8212;&#8212;&#20851;&#20110;&#35748;&#23450;&#25910;&#36141;&#26410;&#31246;&#30719;&#20135;&#21697;&#30340;&#20010;&#20307;&#25143;&#20026;&#36164;&#28304;&#31246;&#25187;&#32564;&#20041;&#21153;&#20154;&#30340;&#25209;&#22797;.docx" TargetMode="External"/><Relationship Id="rId4" Type="http://schemas.openxmlformats.org/officeDocument/2006/relationships/footnotes" Target="footnotes.xml"/><Relationship Id="rId9" Type="http://schemas.openxmlformats.org/officeDocument/2006/relationships/hyperlink" Target="http://ssfb86.com/index/News/detail/newsid/393.html" TargetMode="External"/><Relationship Id="rId14" Type="http://schemas.openxmlformats.org/officeDocument/2006/relationships/hyperlink" Target="http://ssfb86.com/index/News/detail/newsid/393.html" TargetMode="External"/><Relationship Id="rId22" Type="http://schemas.openxmlformats.org/officeDocument/2006/relationships/hyperlink" Target="http://ssfb86.com/index/News/detail/newsid/393.html" TargetMode="External"/><Relationship Id="rId27"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30"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35"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3"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48" Type="http://schemas.openxmlformats.org/officeDocument/2006/relationships/hyperlink" Target="../../&#31246;&#25910;&#27861;&#35268;&#27719;&#32534;&#65288;&#25353;&#26085;&#26399;&#20998;&#31867;&#65289;/2018&#24180;/3&#26376;/&#22269;&#23478;&#31246;&#21153;&#24635;&#23616;&#20844;&#21578;2018&#24180;&#31532;13&#21495;&#8212;&#8212;&#20851;&#20110;&#21457;&#24067;&#12298;&#36164;&#28304;&#31246;&#24449;&#25910;&#31649;&#29702;&#35268;&#31243;&#12299;&#30340;&#20844;&#21578;.docx" TargetMode="External"/><Relationship Id="rId56" Type="http://schemas.openxmlformats.org/officeDocument/2006/relationships/fontTable" Target="fontTable.xml"/><Relationship Id="rId8" Type="http://schemas.openxmlformats.org/officeDocument/2006/relationships/hyperlink" Target="http://ssfb86.com/index/News/detail/newsid/393.html" TargetMode="External"/><Relationship Id="rId51" Type="http://schemas.openxmlformats.org/officeDocument/2006/relationships/hyperlink" Target="../../2015&#24180;/7&#26376;/%5b&#20840;&#25991;&#24223;&#27490;%5d&#8212;&#8212;&#22269;&#23478;&#31246;&#21153;&#24635;&#23616;&#20844;&#21578;2015&#24180;&#31532;51&#21495;&#8212;&#8212;&#20851;&#20110;&#21457;&#24067;&#12298;&#29028;&#28845;&#36164;&#28304;&#31246;&#24449;&#25910;&#31649;&#29702;&#21150;&#27861;&#65288;&#35797;&#34892;&#65289;&#12299;&#30340;&#20844;&#21578;.docx"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5</cp:revision>
  <dcterms:created xsi:type="dcterms:W3CDTF">2020-08-14T07:24:00Z</dcterms:created>
  <dcterms:modified xsi:type="dcterms:W3CDTF">2020-10-23T13:09:00Z</dcterms:modified>
</cp:coreProperties>
</file>