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B484B" w14:textId="3EDCBA6D" w:rsidR="00F57C18" w:rsidRPr="005908E2" w:rsidRDefault="00F57C18" w:rsidP="005908E2">
      <w:pPr>
        <w:spacing w:beforeLines="50" w:before="156" w:line="480" w:lineRule="atLeast"/>
        <w:rPr>
          <w:sz w:val="24"/>
          <w:szCs w:val="24"/>
        </w:rPr>
      </w:pPr>
    </w:p>
    <w:p w14:paraId="34E8BFA4" w14:textId="214DD50F" w:rsidR="005908E2" w:rsidRPr="005908E2" w:rsidRDefault="005908E2" w:rsidP="005908E2">
      <w:pPr>
        <w:spacing w:beforeLines="50" w:before="156" w:line="480" w:lineRule="atLeast"/>
        <w:jc w:val="center"/>
        <w:rPr>
          <w:rFonts w:asciiTheme="minorEastAsia" w:hAnsiTheme="minorEastAsia"/>
          <w:sz w:val="44"/>
          <w:szCs w:val="44"/>
        </w:rPr>
      </w:pPr>
      <w:r w:rsidRPr="005908E2">
        <w:rPr>
          <w:rFonts w:asciiTheme="minorEastAsia" w:hAnsiTheme="minorEastAsia" w:hint="eastAsia"/>
          <w:sz w:val="44"/>
          <w:szCs w:val="44"/>
        </w:rPr>
        <w:t>1</w:t>
      </w:r>
      <w:r w:rsidR="00274530">
        <w:rPr>
          <w:rFonts w:asciiTheme="minorEastAsia" w:hAnsiTheme="minorEastAsia"/>
          <w:sz w:val="44"/>
          <w:szCs w:val="44"/>
        </w:rPr>
        <w:t>.1</w:t>
      </w:r>
      <w:r w:rsidRPr="005908E2">
        <w:rPr>
          <w:rFonts w:asciiTheme="minorEastAsia" w:hAnsiTheme="minorEastAsia"/>
          <w:sz w:val="44"/>
          <w:szCs w:val="44"/>
        </w:rPr>
        <w:t xml:space="preserve">  </w:t>
      </w:r>
      <w:r w:rsidRPr="005908E2">
        <w:rPr>
          <w:rFonts w:asciiTheme="minorEastAsia" w:hAnsiTheme="minorEastAsia" w:hint="eastAsia"/>
          <w:sz w:val="44"/>
          <w:szCs w:val="44"/>
        </w:rPr>
        <w:t>适用范围</w:t>
      </w:r>
    </w:p>
    <w:p w14:paraId="635A306F" w14:textId="62A62C87" w:rsidR="005908E2" w:rsidRDefault="005908E2" w:rsidP="005908E2">
      <w:pPr>
        <w:spacing w:beforeLines="50" w:before="156" w:line="480" w:lineRule="atLeast"/>
        <w:rPr>
          <w:sz w:val="24"/>
          <w:szCs w:val="24"/>
        </w:rPr>
      </w:pPr>
    </w:p>
    <w:p w14:paraId="1C8EC134" w14:textId="77777777" w:rsidR="005908E2" w:rsidRPr="005908E2" w:rsidRDefault="005908E2" w:rsidP="005908E2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5908E2">
        <w:rPr>
          <w:rFonts w:asciiTheme="minorEastAsia" w:hAnsiTheme="minorEastAsia" w:hint="eastAsia"/>
          <w:color w:val="000000" w:themeColor="text1"/>
          <w:sz w:val="24"/>
          <w:szCs w:val="24"/>
        </w:rPr>
        <w:t>一、适用</w:t>
      </w:r>
    </w:p>
    <w:p w14:paraId="2B96B55E" w14:textId="77777777" w:rsidR="005908E2" w:rsidRPr="005908E2" w:rsidRDefault="005908E2" w:rsidP="005908E2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凡依法由税务机关征收的各种税收的征收管理，均适用本法。</w:t>
      </w:r>
    </w:p>
    <w:p w14:paraId="4FB8A9F2" w14:textId="3575763C" w:rsidR="005908E2" w:rsidRPr="005908E2" w:rsidRDefault="005908E2" w:rsidP="005908E2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bookmarkStart w:id="0" w:name="_Hlk51478647"/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《</w:t>
      </w:r>
      <w:hyperlink r:id="rId7" w:history="1">
        <w:r w:rsidRPr="00094967">
          <w:rPr>
            <w:rStyle w:val="a5"/>
            <w:rFonts w:asciiTheme="minorEastAsia" w:hAnsiTheme="minorEastAsia" w:cs="宋体" w:hint="eastAsia"/>
            <w:kern w:val="0"/>
            <w:sz w:val="24"/>
            <w:szCs w:val="24"/>
          </w:rPr>
          <w:t>税收征管法</w:t>
        </w:r>
      </w:hyperlink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</w:t>
      </w:r>
      <w:bookmarkEnd w:id="0"/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第二条）</w:t>
      </w:r>
    </w:p>
    <w:p w14:paraId="7A5C77BC" w14:textId="77777777" w:rsidR="005908E2" w:rsidRPr="005908E2" w:rsidRDefault="005908E2" w:rsidP="005908E2">
      <w:pPr>
        <w:pStyle w:val="a6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5908E2">
        <w:rPr>
          <w:rFonts w:asciiTheme="minorEastAsia" w:eastAsiaTheme="minorEastAsia" w:hAnsiTheme="minorEastAsia" w:hint="eastAsia"/>
          <w:color w:val="000000" w:themeColor="text1"/>
        </w:rPr>
        <w:t>凡依法由税务机关征收的各种税收的征收管理，均适用税收征管法及本细则；税收征管法及本细则没有规定的，依照其他</w:t>
      </w:r>
      <w:r w:rsidRPr="005908E2">
        <w:rPr>
          <w:rFonts w:asciiTheme="minorEastAsia" w:eastAsiaTheme="minorEastAsia" w:hAnsiTheme="minorEastAsia" w:hint="eastAsia"/>
          <w:b/>
          <w:bCs/>
          <w:color w:val="000000" w:themeColor="text1"/>
        </w:rPr>
        <w:t>有关税收</w:t>
      </w:r>
      <w:r w:rsidRPr="005908E2">
        <w:rPr>
          <w:rFonts w:asciiTheme="minorEastAsia" w:eastAsiaTheme="minorEastAsia" w:hAnsiTheme="minorEastAsia" w:hint="eastAsia"/>
          <w:color w:val="000000" w:themeColor="text1"/>
        </w:rPr>
        <w:t>法律、行政法规的规定执行。</w:t>
      </w:r>
    </w:p>
    <w:p w14:paraId="486A6ACC" w14:textId="4B05D5D6" w:rsidR="005908E2" w:rsidRPr="005908E2" w:rsidRDefault="005908E2" w:rsidP="005908E2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bookmarkStart w:id="1" w:name="_Hlk14901875"/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（《</w:t>
      </w:r>
      <w:bookmarkStart w:id="2" w:name="_Hlk18137234"/>
      <w:r w:rsidR="00B11661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fldChar w:fldCharType="begin"/>
      </w:r>
      <w:r w:rsidR="00B11661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instrText xml:space="preserve"> HYPERLINK "http://ssfb86.com/index/News/detail/newsid/828.html" </w:instrText>
      </w:r>
      <w:r w:rsidR="00B11661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fldChar w:fldCharType="separate"/>
      </w:r>
      <w:r w:rsidRPr="00B11661">
        <w:rPr>
          <w:rStyle w:val="a5"/>
          <w:rFonts w:asciiTheme="minorEastAsia" w:hAnsiTheme="minorEastAsia" w:cs="宋体" w:hint="eastAsia"/>
          <w:kern w:val="0"/>
          <w:sz w:val="24"/>
          <w:szCs w:val="24"/>
        </w:rPr>
        <w:t>税收征管法实施细则</w:t>
      </w:r>
      <w:bookmarkEnd w:id="2"/>
      <w:r w:rsidR="00B11661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fldChar w:fldCharType="end"/>
      </w:r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》第二条）</w:t>
      </w:r>
    </w:p>
    <w:bookmarkEnd w:id="1"/>
    <w:p w14:paraId="358FE58F" w14:textId="77777777" w:rsidR="005908E2" w:rsidRPr="005908E2" w:rsidRDefault="005908E2" w:rsidP="005908E2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耕地占用税、契税、</w:t>
      </w:r>
      <w:r w:rsidRPr="00094967">
        <w:rPr>
          <w:rFonts w:asciiTheme="minorEastAsia" w:hAnsiTheme="minorEastAsia" w:cs="宋体" w:hint="eastAsia"/>
          <w:strike/>
          <w:color w:val="000000" w:themeColor="text1"/>
          <w:kern w:val="0"/>
          <w:sz w:val="24"/>
          <w:szCs w:val="24"/>
        </w:rPr>
        <w:t>农业税、牧业税</w:t>
      </w:r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征收管理的具体办法，由国务院另行制定。</w:t>
      </w:r>
    </w:p>
    <w:p w14:paraId="6C66636E" w14:textId="0FA82D93" w:rsidR="005908E2" w:rsidRPr="005908E2" w:rsidRDefault="005908E2" w:rsidP="005908E2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bookmarkStart w:id="3" w:name="_Hlk14631144"/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094967"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《</w:t>
      </w:r>
      <w:hyperlink r:id="rId8" w:history="1">
        <w:r w:rsidR="00094967" w:rsidRPr="00094967">
          <w:rPr>
            <w:rStyle w:val="a5"/>
            <w:rFonts w:asciiTheme="minorEastAsia" w:hAnsiTheme="minorEastAsia" w:cs="宋体" w:hint="eastAsia"/>
            <w:kern w:val="0"/>
            <w:sz w:val="24"/>
            <w:szCs w:val="24"/>
          </w:rPr>
          <w:t>税收征管法</w:t>
        </w:r>
      </w:hyperlink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》第九十条第一款）</w:t>
      </w:r>
    </w:p>
    <w:p w14:paraId="2F0173EA" w14:textId="77777777" w:rsidR="005908E2" w:rsidRPr="005908E2" w:rsidRDefault="005908E2" w:rsidP="005908E2">
      <w:pPr>
        <w:pStyle w:val="a6"/>
        <w:spacing w:beforeLines="50" w:before="156" w:beforeAutospacing="0" w:after="0" w:afterAutospacing="0" w:line="480" w:lineRule="atLeast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5908E2">
        <w:rPr>
          <w:rFonts w:asciiTheme="minorEastAsia" w:eastAsiaTheme="minorEastAsia" w:hAnsiTheme="minorEastAsia" w:hint="eastAsia"/>
          <w:color w:val="000000" w:themeColor="text1"/>
        </w:rPr>
        <w:t>耕地占用税、契税</w:t>
      </w:r>
      <w:r w:rsidRPr="005908E2">
        <w:rPr>
          <w:rFonts w:asciiTheme="minorEastAsia" w:eastAsiaTheme="minorEastAsia" w:hAnsiTheme="minorEastAsia" w:hint="eastAsia"/>
          <w:i/>
          <w:iCs/>
          <w:color w:val="000000" w:themeColor="text1"/>
        </w:rPr>
        <w:t>、</w:t>
      </w:r>
      <w:r w:rsidRPr="00094967">
        <w:rPr>
          <w:rFonts w:asciiTheme="minorEastAsia" w:eastAsiaTheme="minorEastAsia" w:hAnsiTheme="minorEastAsia" w:hint="eastAsia"/>
          <w:strike/>
          <w:color w:val="000000" w:themeColor="text1"/>
        </w:rPr>
        <w:t>农业税、牧业税</w:t>
      </w:r>
      <w:r w:rsidRPr="005908E2">
        <w:rPr>
          <w:rFonts w:asciiTheme="minorEastAsia" w:eastAsiaTheme="minorEastAsia" w:hAnsiTheme="minorEastAsia" w:hint="eastAsia"/>
          <w:color w:val="000000" w:themeColor="text1"/>
        </w:rPr>
        <w:t>的征收管理，按照国务院的有关规定执行。</w:t>
      </w:r>
    </w:p>
    <w:p w14:paraId="65C8A2B6" w14:textId="08EBB59C" w:rsidR="005908E2" w:rsidRPr="005908E2" w:rsidRDefault="005908E2" w:rsidP="005908E2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B11661"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《</w:t>
      </w:r>
      <w:hyperlink r:id="rId9" w:history="1">
        <w:r w:rsidR="00B11661" w:rsidRPr="00B11661">
          <w:rPr>
            <w:rStyle w:val="a5"/>
            <w:rFonts w:asciiTheme="minorEastAsia" w:hAnsiTheme="minorEastAsia" w:cs="宋体" w:hint="eastAsia"/>
            <w:kern w:val="0"/>
            <w:sz w:val="24"/>
            <w:szCs w:val="24"/>
          </w:rPr>
          <w:t>税收征管法实施细则</w:t>
        </w:r>
      </w:hyperlink>
      <w:r w:rsidR="00B11661"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</w:t>
      </w:r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第一百一十二条）</w:t>
      </w:r>
    </w:p>
    <w:p w14:paraId="5D16FDA0" w14:textId="77777777" w:rsidR="005908E2" w:rsidRPr="005908E2" w:rsidRDefault="005908E2" w:rsidP="005908E2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5908E2">
        <w:rPr>
          <w:rFonts w:asciiTheme="minorEastAsia" w:hAnsiTheme="minorEastAsia" w:hint="eastAsia"/>
          <w:color w:val="000000" w:themeColor="text1"/>
          <w:sz w:val="24"/>
          <w:szCs w:val="24"/>
        </w:rPr>
        <w:t>二、不适用</w:t>
      </w:r>
    </w:p>
    <w:bookmarkEnd w:id="3"/>
    <w:p w14:paraId="560CD756" w14:textId="77777777" w:rsidR="005908E2" w:rsidRPr="005908E2" w:rsidRDefault="005908E2" w:rsidP="005908E2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（一）关税及海关代征税收的征收管理，依照法律、行政法规的有关规定执行。</w:t>
      </w:r>
    </w:p>
    <w:p w14:paraId="45ADF3E1" w14:textId="26D762F6" w:rsidR="005908E2" w:rsidRPr="005908E2" w:rsidRDefault="005908E2" w:rsidP="005908E2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094967"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《</w:t>
      </w:r>
      <w:hyperlink r:id="rId10" w:history="1">
        <w:r w:rsidR="00094967" w:rsidRPr="00094967">
          <w:rPr>
            <w:rStyle w:val="a5"/>
            <w:rFonts w:asciiTheme="minorEastAsia" w:hAnsiTheme="minorEastAsia" w:cs="宋体" w:hint="eastAsia"/>
            <w:kern w:val="0"/>
            <w:sz w:val="24"/>
            <w:szCs w:val="24"/>
          </w:rPr>
          <w:t>税收征管法</w:t>
        </w:r>
      </w:hyperlink>
      <w:r w:rsidR="00094967"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</w:t>
      </w:r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第九十条第二款）</w:t>
      </w:r>
    </w:p>
    <w:p w14:paraId="3D71DF52" w14:textId="77777777" w:rsidR="005908E2" w:rsidRPr="005908E2" w:rsidRDefault="005908E2" w:rsidP="005908E2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（二）中华人民共和国同外国缔结的有关税收的条约、协定同本法有不同规定的，依照条约、协定的规定办理。</w:t>
      </w:r>
    </w:p>
    <w:p w14:paraId="54912BCC" w14:textId="1A35C6A7" w:rsidR="005908E2" w:rsidRPr="005908E2" w:rsidRDefault="005908E2" w:rsidP="005908E2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094967"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《</w:t>
      </w:r>
      <w:hyperlink r:id="rId11" w:history="1">
        <w:r w:rsidR="00094967" w:rsidRPr="00094967">
          <w:rPr>
            <w:rStyle w:val="a5"/>
            <w:rFonts w:asciiTheme="minorEastAsia" w:hAnsiTheme="minorEastAsia" w:cs="宋体" w:hint="eastAsia"/>
            <w:kern w:val="0"/>
            <w:sz w:val="24"/>
            <w:szCs w:val="24"/>
          </w:rPr>
          <w:t>税收征管法</w:t>
        </w:r>
      </w:hyperlink>
      <w:r w:rsidR="00094967"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</w:t>
      </w:r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第九十一条）</w:t>
      </w:r>
    </w:p>
    <w:p w14:paraId="604A173C" w14:textId="77777777" w:rsidR="005908E2" w:rsidRPr="005908E2" w:rsidRDefault="005908E2" w:rsidP="005908E2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bookmarkStart w:id="4" w:name="_Hlk17780445"/>
      <w:r w:rsidRPr="005908E2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附注：严格区分税费</w:t>
      </w:r>
    </w:p>
    <w:p w14:paraId="156A48BE" w14:textId="77777777" w:rsidR="005908E2" w:rsidRPr="005908E2" w:rsidRDefault="005908E2" w:rsidP="005908E2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据纳税人反映，部分税务机关将代有关部门收取的各项基金和收费（以下统称代收费）与税收“捆绑式”征收，损害了税务机关的形象。为规范税务机关代收费管理，保护纳税人合法权益，现就有关问题通知如下：</w:t>
      </w:r>
    </w:p>
    <w:bookmarkEnd w:id="4"/>
    <w:p w14:paraId="297562BD" w14:textId="2A5BCDB6" w:rsidR="005908E2" w:rsidRPr="005908E2" w:rsidRDefault="005908E2" w:rsidP="005908E2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税务机关应建立健全财务管理制度，严禁代收费与税款、滞纳金及罚款“捆绑式”征收。代收费不得与税款、滞纳金及罚款混合核算，不得与税务机关的行政经费混合核算。</w:t>
      </w:r>
      <w:r w:rsidRPr="005908E2">
        <w:rPr>
          <w:rFonts w:asciiTheme="minorEastAsia" w:hAnsiTheme="minorEastAsia" w:cs="宋体" w:hint="eastAsia"/>
          <w:i/>
          <w:iCs/>
          <w:color w:val="000000" w:themeColor="text1"/>
          <w:kern w:val="0"/>
          <w:sz w:val="24"/>
          <w:szCs w:val="24"/>
        </w:rPr>
        <w:t>代收费应</w:t>
      </w:r>
      <w:bookmarkStart w:id="5" w:name="_GoBack"/>
      <w:bookmarkEnd w:id="5"/>
      <w:r w:rsidRPr="005908E2">
        <w:rPr>
          <w:rFonts w:asciiTheme="minorEastAsia" w:hAnsiTheme="minorEastAsia" w:cs="宋体" w:hint="eastAsia"/>
          <w:i/>
          <w:iCs/>
          <w:color w:val="000000" w:themeColor="text1"/>
          <w:kern w:val="0"/>
          <w:sz w:val="24"/>
          <w:szCs w:val="24"/>
        </w:rPr>
        <w:t>使用专用的收费收据，不得使用税收完税凭证</w:t>
      </w:r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。税务机关应当按照规定及时将代收费收入缴入相应帐户，不得隐瞒、截留、占压、坐支和挪用。严禁超越职权，扩</w:t>
      </w:r>
      <w:r w:rsidRPr="001907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大</w:t>
      </w:r>
      <w:r w:rsidR="001907EB" w:rsidRPr="001907EB">
        <w:rPr>
          <w:rFonts w:hint="eastAsia"/>
          <w:color w:val="333333"/>
          <w:sz w:val="24"/>
          <w:szCs w:val="24"/>
          <w:shd w:val="clear" w:color="auto" w:fill="FFFFFF"/>
        </w:rPr>
        <w:t>《</w:t>
      </w:r>
      <w:hyperlink r:id="rId12" w:tgtFrame="_self" w:history="1">
        <w:r w:rsidR="001907EB" w:rsidRPr="001907EB">
          <w:rPr>
            <w:rFonts w:hint="eastAsia"/>
            <w:color w:val="4788D7"/>
            <w:sz w:val="24"/>
            <w:szCs w:val="24"/>
            <w:u w:val="single"/>
            <w:shd w:val="clear" w:color="auto" w:fill="FFFFFF"/>
          </w:rPr>
          <w:t>中华人民共和国税收征收管理法</w:t>
        </w:r>
      </w:hyperlink>
      <w:r w:rsidR="001907EB" w:rsidRPr="001907EB">
        <w:rPr>
          <w:rFonts w:hint="eastAsia"/>
          <w:color w:val="333333"/>
          <w:sz w:val="24"/>
          <w:szCs w:val="24"/>
          <w:shd w:val="clear" w:color="auto" w:fill="FFFFFF"/>
        </w:rPr>
        <w:t>》</w:t>
      </w:r>
      <w:r w:rsidRPr="001907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的适</w:t>
      </w:r>
      <w:r w:rsidRPr="005908E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用范围。</w:t>
      </w:r>
    </w:p>
    <w:p w14:paraId="1759AB9A" w14:textId="06FA0A48" w:rsidR="005908E2" w:rsidRPr="005908E2" w:rsidRDefault="005908E2" w:rsidP="005908E2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5908E2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</w:t>
      </w:r>
      <w:hyperlink r:id="rId13" w:history="1">
        <w:r w:rsidRPr="001907EB">
          <w:rPr>
            <w:rStyle w:val="a5"/>
            <w:rFonts w:asciiTheme="minorEastAsia" w:hAnsiTheme="minorEastAsia" w:hint="eastAsia"/>
            <w:sz w:val="24"/>
            <w:szCs w:val="24"/>
            <w:shd w:val="clear" w:color="auto" w:fill="FFFFFF"/>
          </w:rPr>
          <w:t>国税发[2005]160号</w:t>
        </w:r>
      </w:hyperlink>
      <w:r w:rsidRPr="005908E2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第三条第一款）</w:t>
      </w:r>
    </w:p>
    <w:p w14:paraId="1C07130F" w14:textId="77777777" w:rsidR="005908E2" w:rsidRPr="005908E2" w:rsidRDefault="005908E2" w:rsidP="005908E2">
      <w:pPr>
        <w:spacing w:beforeLines="50" w:before="156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F1A1A48" w14:textId="77777777" w:rsidR="005908E2" w:rsidRPr="005908E2" w:rsidRDefault="005908E2" w:rsidP="005908E2">
      <w:pPr>
        <w:spacing w:beforeLines="50" w:before="156" w:line="480" w:lineRule="atLeast"/>
        <w:rPr>
          <w:sz w:val="24"/>
          <w:szCs w:val="24"/>
        </w:rPr>
      </w:pPr>
    </w:p>
    <w:sectPr w:rsidR="005908E2" w:rsidRPr="005908E2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E0B5B" w14:textId="77777777" w:rsidR="00CE5F8E" w:rsidRDefault="00CE5F8E" w:rsidP="005908E2">
      <w:r>
        <w:separator/>
      </w:r>
    </w:p>
  </w:endnote>
  <w:endnote w:type="continuationSeparator" w:id="0">
    <w:p w14:paraId="4C3EB8E4" w14:textId="77777777" w:rsidR="00CE5F8E" w:rsidRDefault="00CE5F8E" w:rsidP="0059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3909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C98EFE" w14:textId="4FD8DBED" w:rsidR="005908E2" w:rsidRDefault="005908E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7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7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D1E703" w14:textId="77777777" w:rsidR="005908E2" w:rsidRDefault="005908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6380C" w14:textId="77777777" w:rsidR="00CE5F8E" w:rsidRDefault="00CE5F8E" w:rsidP="005908E2">
      <w:r>
        <w:separator/>
      </w:r>
    </w:p>
  </w:footnote>
  <w:footnote w:type="continuationSeparator" w:id="0">
    <w:p w14:paraId="0E36FA56" w14:textId="77777777" w:rsidR="00CE5F8E" w:rsidRDefault="00CE5F8E" w:rsidP="00590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1F7"/>
    <w:rsid w:val="00087AA2"/>
    <w:rsid w:val="00094967"/>
    <w:rsid w:val="000F0A5F"/>
    <w:rsid w:val="001907EB"/>
    <w:rsid w:val="001E2F92"/>
    <w:rsid w:val="00274530"/>
    <w:rsid w:val="005908E2"/>
    <w:rsid w:val="009061F7"/>
    <w:rsid w:val="00963755"/>
    <w:rsid w:val="00B11661"/>
    <w:rsid w:val="00CE5F8E"/>
    <w:rsid w:val="00D56D44"/>
    <w:rsid w:val="00F5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22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08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5908E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908E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8E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908E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908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5908E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908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908E2"/>
    <w:rPr>
      <w:b/>
      <w:bCs/>
      <w:kern w:val="44"/>
      <w:sz w:val="44"/>
      <w:szCs w:val="44"/>
    </w:rPr>
  </w:style>
  <w:style w:type="character" w:customStyle="1" w:styleId="UnresolvedMention">
    <w:name w:val="Unresolved Mention"/>
    <w:basedOn w:val="a0"/>
    <w:uiPriority w:val="99"/>
    <w:semiHidden/>
    <w:unhideWhenUsed/>
    <w:rsid w:val="000949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1036.html" TargetMode="External"/><Relationship Id="rId13" Type="http://schemas.openxmlformats.org/officeDocument/2006/relationships/hyperlink" Target="http://ssfb86.com/index/News/detail/newsid/32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fb86.com/index/News/detail/newsid/1036.html" TargetMode="External"/><Relationship Id="rId12" Type="http://schemas.openxmlformats.org/officeDocument/2006/relationships/hyperlink" Target="http://ssfb86.com/index/News/detail/newsid/1036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sfb86.com/index/News/detail/newsid/1036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sfb86.com/index/News/detail/newsid/103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fb86.com/index/News/detail/newsid/828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OS</cp:lastModifiedBy>
  <cp:revision>7</cp:revision>
  <dcterms:created xsi:type="dcterms:W3CDTF">2020-08-24T12:41:00Z</dcterms:created>
  <dcterms:modified xsi:type="dcterms:W3CDTF">2020-09-20T12:13:00Z</dcterms:modified>
</cp:coreProperties>
</file>