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87F8E" w14:textId="77777777" w:rsidR="00935709" w:rsidRDefault="00935709" w:rsidP="00935709">
      <w:pPr>
        <w:jc w:val="center"/>
        <w:rPr>
          <w:rFonts w:asciiTheme="minorEastAsia" w:hAnsiTheme="minorEastAsia"/>
          <w:sz w:val="44"/>
          <w:szCs w:val="44"/>
        </w:rPr>
      </w:pPr>
    </w:p>
    <w:p w14:paraId="486DF133" w14:textId="1498FD26" w:rsidR="00F57C18" w:rsidRDefault="00935709" w:rsidP="00935709">
      <w:pPr>
        <w:jc w:val="center"/>
        <w:rPr>
          <w:rFonts w:asciiTheme="minorEastAsia" w:hAnsiTheme="minorEastAsia"/>
          <w:sz w:val="44"/>
          <w:szCs w:val="44"/>
        </w:rPr>
      </w:pPr>
      <w:r w:rsidRPr="00935709">
        <w:rPr>
          <w:rFonts w:asciiTheme="minorEastAsia" w:hAnsiTheme="minorEastAsia" w:hint="eastAsia"/>
          <w:sz w:val="44"/>
          <w:szCs w:val="44"/>
        </w:rPr>
        <w:t>1.</w:t>
      </w:r>
      <w:r w:rsidR="00C56883">
        <w:rPr>
          <w:rFonts w:asciiTheme="minorEastAsia" w:hAnsiTheme="minorEastAsia"/>
          <w:sz w:val="44"/>
          <w:szCs w:val="44"/>
        </w:rPr>
        <w:t>9</w:t>
      </w:r>
      <w:r w:rsidRPr="00935709">
        <w:rPr>
          <w:rFonts w:asciiTheme="minorEastAsia" w:hAnsiTheme="minorEastAsia"/>
          <w:sz w:val="44"/>
          <w:szCs w:val="44"/>
        </w:rPr>
        <w:t xml:space="preserve">  </w:t>
      </w:r>
      <w:r w:rsidRPr="00935709">
        <w:rPr>
          <w:rFonts w:asciiTheme="minorEastAsia" w:hAnsiTheme="minorEastAsia" w:hint="eastAsia"/>
          <w:sz w:val="44"/>
          <w:szCs w:val="44"/>
        </w:rPr>
        <w:t>第</w:t>
      </w:r>
      <w:r w:rsidR="00C56883">
        <w:rPr>
          <w:rFonts w:asciiTheme="minorEastAsia" w:hAnsiTheme="minorEastAsia"/>
          <w:sz w:val="44"/>
          <w:szCs w:val="44"/>
        </w:rPr>
        <w:t>9</w:t>
      </w:r>
      <w:r w:rsidRPr="00935709">
        <w:rPr>
          <w:rFonts w:asciiTheme="minorEastAsia" w:hAnsiTheme="minorEastAsia" w:hint="eastAsia"/>
          <w:sz w:val="44"/>
          <w:szCs w:val="44"/>
        </w:rPr>
        <w:t xml:space="preserve">章 </w:t>
      </w:r>
      <w:r w:rsidRPr="00935709">
        <w:rPr>
          <w:rFonts w:asciiTheme="minorEastAsia" w:hAnsiTheme="minorEastAsia"/>
          <w:sz w:val="44"/>
          <w:szCs w:val="44"/>
        </w:rPr>
        <w:t xml:space="preserve"> </w:t>
      </w:r>
      <w:r w:rsidR="00C56883">
        <w:rPr>
          <w:rFonts w:asciiTheme="minorEastAsia" w:hAnsiTheme="minorEastAsia" w:hint="eastAsia"/>
          <w:sz w:val="44"/>
          <w:szCs w:val="44"/>
        </w:rPr>
        <w:t>诉讼时效</w:t>
      </w:r>
    </w:p>
    <w:p w14:paraId="7B1943B7" w14:textId="29E45FA7" w:rsidR="00935709" w:rsidRDefault="00935709" w:rsidP="0034129C">
      <w:pPr>
        <w:pStyle w:val="a3"/>
        <w:spacing w:before="120" w:beforeAutospacing="0" w:after="0" w:afterAutospacing="0" w:line="480" w:lineRule="atLeast"/>
        <w:ind w:firstLineChars="200" w:firstLine="480"/>
      </w:pPr>
    </w:p>
    <w:p w14:paraId="44A96744" w14:textId="77777777" w:rsidR="00C56883" w:rsidRPr="00C56883" w:rsidRDefault="00C56883" w:rsidP="00C56883">
      <w:pPr>
        <w:pStyle w:val="a3"/>
        <w:spacing w:before="120" w:beforeAutospacing="0" w:after="0" w:afterAutospacing="0" w:line="480" w:lineRule="atLeast"/>
        <w:ind w:firstLineChars="200" w:firstLine="482"/>
        <w:rPr>
          <w:rFonts w:ascii="����" w:hAnsi="����" w:hint="eastAsia"/>
          <w:color w:val="000000"/>
        </w:rPr>
      </w:pPr>
      <w:r w:rsidRPr="00C56883">
        <w:rPr>
          <w:rFonts w:ascii="����" w:hAnsi="����"/>
          <w:b/>
          <w:bCs/>
          <w:color w:val="000000"/>
        </w:rPr>
        <w:t>第一百八十八条</w:t>
      </w:r>
      <w:r w:rsidRPr="00C56883">
        <w:rPr>
          <w:rFonts w:ascii="����" w:hAnsi="����"/>
          <w:color w:val="000000"/>
        </w:rPr>
        <w:t>  </w:t>
      </w:r>
      <w:r w:rsidRPr="00C56883">
        <w:rPr>
          <w:rFonts w:ascii="����" w:hAnsi="����"/>
          <w:color w:val="000000"/>
        </w:rPr>
        <w:t>向人民法院请求保护民事权利的</w:t>
      </w:r>
      <w:commentRangeStart w:id="0"/>
      <w:r w:rsidRPr="00C56883">
        <w:rPr>
          <w:rFonts w:ascii="����" w:hAnsi="����"/>
          <w:color w:val="000000"/>
        </w:rPr>
        <w:t>诉讼时效</w:t>
      </w:r>
      <w:commentRangeEnd w:id="0"/>
      <w:r w:rsidR="00017488">
        <w:rPr>
          <w:rStyle w:val="a6"/>
          <w:rFonts w:asciiTheme="minorHAnsi" w:eastAsiaTheme="minorEastAsia" w:hAnsiTheme="minorHAnsi" w:cstheme="minorBidi"/>
          <w:kern w:val="2"/>
        </w:rPr>
        <w:commentReference w:id="0"/>
      </w:r>
      <w:r w:rsidRPr="00C56883">
        <w:rPr>
          <w:rFonts w:ascii="����" w:hAnsi="����"/>
          <w:color w:val="000000"/>
        </w:rPr>
        <w:t>期间为三年。法律另有规定的，依照其规定。</w:t>
      </w:r>
    </w:p>
    <w:p w14:paraId="31EB819B"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32D7F259"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w:t>
      </w:r>
      <w:r w:rsidRPr="00C56883">
        <w:rPr>
          <w:rFonts w:ascii="����" w:hAnsi="����"/>
          <w:b/>
          <w:bCs/>
          <w:color w:val="000000"/>
        </w:rPr>
        <w:t>第一百八十九条</w:t>
      </w:r>
      <w:r w:rsidRPr="00C56883">
        <w:rPr>
          <w:rFonts w:ascii="����" w:hAnsi="����"/>
          <w:color w:val="000000"/>
        </w:rPr>
        <w:t>  </w:t>
      </w:r>
      <w:r w:rsidRPr="00C56883">
        <w:rPr>
          <w:rFonts w:ascii="����" w:hAnsi="����"/>
          <w:color w:val="000000"/>
        </w:rPr>
        <w:t>当事人约定同一债务分期履行的，诉讼时效期间自最后一期履行期限届满之日起计算。</w:t>
      </w:r>
    </w:p>
    <w:p w14:paraId="21790E69"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第一百九十条</w:t>
      </w:r>
      <w:r w:rsidRPr="00C56883">
        <w:rPr>
          <w:rFonts w:ascii="����" w:hAnsi="����"/>
          <w:color w:val="000000"/>
        </w:rPr>
        <w:t>  </w:t>
      </w:r>
      <w:r w:rsidRPr="00C56883">
        <w:rPr>
          <w:rFonts w:ascii="����" w:hAnsi="����"/>
          <w:color w:val="000000"/>
        </w:rPr>
        <w:t>无民事行为能力人或者限制民事行为能力人对其法定代理人的请求权的诉讼时效期间，自该法定代理终止之日起计算。</w:t>
      </w:r>
    </w:p>
    <w:p w14:paraId="3C2A8FF6"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第一百九十一条</w:t>
      </w:r>
      <w:r w:rsidRPr="00C56883">
        <w:rPr>
          <w:rFonts w:ascii="����" w:hAnsi="����"/>
          <w:color w:val="000000"/>
        </w:rPr>
        <w:t>  </w:t>
      </w:r>
      <w:r w:rsidRPr="00C56883">
        <w:rPr>
          <w:rFonts w:ascii="����" w:hAnsi="����"/>
          <w:color w:val="000000"/>
        </w:rPr>
        <w:t>未成年人遭受性侵害的损害赔偿请求权的诉讼时效期间，自受害人年满十八周岁之日起计算。</w:t>
      </w:r>
    </w:p>
    <w:p w14:paraId="47E1A496"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w:t>
      </w:r>
      <w:r w:rsidRPr="00C56883">
        <w:rPr>
          <w:rFonts w:ascii="����" w:hAnsi="����"/>
          <w:b/>
          <w:bCs/>
          <w:color w:val="000000"/>
        </w:rPr>
        <w:t xml:space="preserve">　第一百九十二条</w:t>
      </w:r>
      <w:r w:rsidRPr="00C56883">
        <w:rPr>
          <w:rFonts w:ascii="����" w:hAnsi="����"/>
          <w:b/>
          <w:bCs/>
          <w:color w:val="000000"/>
        </w:rPr>
        <w:t> </w:t>
      </w:r>
      <w:r w:rsidRPr="00C56883">
        <w:rPr>
          <w:rFonts w:ascii="����" w:hAnsi="����"/>
          <w:color w:val="000000"/>
        </w:rPr>
        <w:t> </w:t>
      </w:r>
      <w:r w:rsidRPr="00C56883">
        <w:rPr>
          <w:rFonts w:ascii="����" w:hAnsi="����"/>
          <w:color w:val="000000"/>
        </w:rPr>
        <w:t>诉讼时效期间届满的，义务人可以提出不履行义务的抗辩。</w:t>
      </w:r>
    </w:p>
    <w:p w14:paraId="3673EEA0"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诉讼时效期间届满后，义务人同意履行的，不得以诉讼时效期间届满为由抗辩；义务人已经自愿履行的，不得请求返还。</w:t>
      </w:r>
    </w:p>
    <w:p w14:paraId="18964BB1"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第一百九十三条</w:t>
      </w:r>
      <w:r w:rsidRPr="00C56883">
        <w:rPr>
          <w:rFonts w:ascii="����" w:hAnsi="����"/>
          <w:color w:val="000000"/>
        </w:rPr>
        <w:t>  </w:t>
      </w:r>
      <w:r w:rsidRPr="00C56883">
        <w:rPr>
          <w:rFonts w:ascii="����" w:hAnsi="����"/>
          <w:color w:val="000000"/>
        </w:rPr>
        <w:t>人民法院不得主动适用诉讼时效的规定。</w:t>
      </w:r>
    </w:p>
    <w:p w14:paraId="58E2776D"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第一百九十四条</w:t>
      </w:r>
      <w:r w:rsidRPr="00C56883">
        <w:rPr>
          <w:rFonts w:ascii="����" w:hAnsi="����"/>
          <w:b/>
          <w:bCs/>
          <w:color w:val="000000"/>
        </w:rPr>
        <w:t> </w:t>
      </w:r>
      <w:r w:rsidRPr="00C56883">
        <w:rPr>
          <w:rFonts w:ascii="����" w:hAnsi="����"/>
          <w:color w:val="000000"/>
        </w:rPr>
        <w:t> </w:t>
      </w:r>
      <w:r w:rsidRPr="00C56883">
        <w:rPr>
          <w:rFonts w:ascii="����" w:hAnsi="����"/>
          <w:color w:val="000000"/>
        </w:rPr>
        <w:t>在诉讼时效期间的</w:t>
      </w:r>
      <w:r w:rsidRPr="0024142D">
        <w:rPr>
          <w:rFonts w:ascii="����" w:hAnsi="����"/>
          <w:color w:val="000000"/>
        </w:rPr>
        <w:t>最后六个月内</w:t>
      </w:r>
      <w:r w:rsidRPr="00C56883">
        <w:rPr>
          <w:rFonts w:ascii="����" w:hAnsi="����"/>
          <w:color w:val="000000"/>
        </w:rPr>
        <w:t>，因下列障碍，不能行使请求权的，诉讼时效中止：</w:t>
      </w:r>
    </w:p>
    <w:p w14:paraId="030C7E4C"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（一）不可抗力；</w:t>
      </w:r>
    </w:p>
    <w:p w14:paraId="1155DA17"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（二）无民事行为能力人或者限制民事行为能力人没有法定代理人，或者法定代理人死亡、丧失民事行为能力、丧失代理权；</w:t>
      </w:r>
    </w:p>
    <w:p w14:paraId="259C6BD7"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（三）继承开始后未确定继承人或者遗产管理人；</w:t>
      </w:r>
    </w:p>
    <w:p w14:paraId="7CE1EC85"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lastRenderedPageBreak/>
        <w:t xml:space="preserve">　　（四）权利人被义务人或者其他人控制；</w:t>
      </w:r>
    </w:p>
    <w:p w14:paraId="023BAD38"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（五）其他导致权利人不能行使请求权的障碍。</w:t>
      </w:r>
    </w:p>
    <w:p w14:paraId="4670FD68"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自中止时效的</w:t>
      </w:r>
      <w:r w:rsidRPr="009F770B">
        <w:rPr>
          <w:rFonts w:ascii="����" w:hAnsi="����"/>
          <w:color w:val="000000"/>
        </w:rPr>
        <w:t>原因消除之日起满六个月</w:t>
      </w:r>
      <w:r w:rsidRPr="00C56883">
        <w:rPr>
          <w:rFonts w:ascii="����" w:hAnsi="����"/>
          <w:color w:val="000000"/>
        </w:rPr>
        <w:t>，诉讼时效期间届满。</w:t>
      </w:r>
    </w:p>
    <w:p w14:paraId="77B6643C"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第一百九十五条</w:t>
      </w:r>
      <w:r w:rsidRPr="00C56883">
        <w:rPr>
          <w:rFonts w:ascii="����" w:hAnsi="����"/>
          <w:color w:val="000000"/>
        </w:rPr>
        <w:t>  </w:t>
      </w:r>
      <w:r w:rsidRPr="00C56883">
        <w:rPr>
          <w:rFonts w:ascii="����" w:hAnsi="����"/>
          <w:color w:val="000000"/>
        </w:rPr>
        <w:t>有下列情形之一的，诉讼时效中断，从中断、有关程序终结时起，诉讼时效期间重新计算：</w:t>
      </w:r>
    </w:p>
    <w:p w14:paraId="2B304065"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（一）权利人向义务人提出履行请求；</w:t>
      </w:r>
    </w:p>
    <w:p w14:paraId="75231A0F"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（二）义务人同意履行义务；</w:t>
      </w:r>
    </w:p>
    <w:p w14:paraId="5EABBA91"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（三）权利人提起诉讼或者申请仲裁；</w:t>
      </w:r>
    </w:p>
    <w:p w14:paraId="7D213619"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（四）</w:t>
      </w:r>
      <w:commentRangeStart w:id="2"/>
      <w:r w:rsidRPr="00C56883">
        <w:rPr>
          <w:rFonts w:ascii="����" w:hAnsi="����"/>
          <w:color w:val="000000"/>
        </w:rPr>
        <w:t>与提起诉讼或者申请仲裁具有同等效力的其他情形</w:t>
      </w:r>
      <w:commentRangeEnd w:id="2"/>
      <w:r w:rsidR="0024142D">
        <w:rPr>
          <w:rStyle w:val="a6"/>
          <w:rFonts w:asciiTheme="minorHAnsi" w:eastAsiaTheme="minorEastAsia" w:hAnsiTheme="minorHAnsi" w:cstheme="minorBidi"/>
          <w:kern w:val="2"/>
        </w:rPr>
        <w:commentReference w:id="2"/>
      </w:r>
      <w:r w:rsidRPr="00C56883">
        <w:rPr>
          <w:rFonts w:ascii="����" w:hAnsi="����"/>
          <w:color w:val="000000"/>
        </w:rPr>
        <w:t>。</w:t>
      </w:r>
    </w:p>
    <w:p w14:paraId="7E254CB9"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第一百九十六条</w:t>
      </w:r>
      <w:r w:rsidRPr="00C56883">
        <w:rPr>
          <w:rFonts w:ascii="����" w:hAnsi="����"/>
          <w:b/>
          <w:bCs/>
          <w:color w:val="000000"/>
        </w:rPr>
        <w:t> </w:t>
      </w:r>
      <w:r w:rsidRPr="00C56883">
        <w:rPr>
          <w:rFonts w:ascii="����" w:hAnsi="����"/>
          <w:color w:val="000000"/>
        </w:rPr>
        <w:t> </w:t>
      </w:r>
      <w:r w:rsidRPr="00C56883">
        <w:rPr>
          <w:rFonts w:ascii="����" w:hAnsi="����"/>
          <w:color w:val="000000"/>
        </w:rPr>
        <w:t>下列请求权不适用诉讼时效的规定：</w:t>
      </w:r>
    </w:p>
    <w:p w14:paraId="77FD47EB"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（一）请求停止侵害、排除妨碍、消除危险；</w:t>
      </w:r>
    </w:p>
    <w:p w14:paraId="4ABD062B"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（二）</w:t>
      </w:r>
      <w:r w:rsidRPr="008A3991">
        <w:rPr>
          <w:rFonts w:ascii="����" w:hAnsi="����"/>
          <w:b/>
          <w:bCs/>
          <w:color w:val="000000"/>
        </w:rPr>
        <w:t>不动产物权和</w:t>
      </w:r>
      <w:commentRangeStart w:id="3"/>
      <w:r w:rsidRPr="008A3991">
        <w:rPr>
          <w:rFonts w:ascii="����" w:hAnsi="����"/>
          <w:b/>
          <w:bCs/>
          <w:color w:val="000000"/>
        </w:rPr>
        <w:t>登记的动产物权</w:t>
      </w:r>
      <w:commentRangeEnd w:id="3"/>
      <w:r w:rsidR="009F770B">
        <w:rPr>
          <w:rStyle w:val="a6"/>
          <w:rFonts w:asciiTheme="minorHAnsi" w:eastAsiaTheme="minorEastAsia" w:hAnsiTheme="minorHAnsi" w:cstheme="minorBidi"/>
          <w:kern w:val="2"/>
        </w:rPr>
        <w:commentReference w:id="3"/>
      </w:r>
      <w:r w:rsidRPr="008A3991">
        <w:rPr>
          <w:rFonts w:ascii="����" w:hAnsi="����"/>
          <w:color w:val="000000"/>
        </w:rPr>
        <w:t>的权利人</w:t>
      </w:r>
      <w:r w:rsidRPr="00C56883">
        <w:rPr>
          <w:rFonts w:ascii="����" w:hAnsi="����"/>
          <w:color w:val="000000"/>
        </w:rPr>
        <w:t>请求返还财产；</w:t>
      </w:r>
    </w:p>
    <w:p w14:paraId="50A28CF1"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（三）请求支付抚养费、赡养费或者扶养费；</w:t>
      </w:r>
    </w:p>
    <w:p w14:paraId="0705D3EB"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（四）依法不适用诉讼时效的其他请求权。</w:t>
      </w:r>
    </w:p>
    <w:p w14:paraId="059F9419" w14:textId="77777777" w:rsidR="00C56883" w:rsidRPr="00017488" w:rsidRDefault="00C56883" w:rsidP="00C56883">
      <w:pPr>
        <w:pStyle w:val="a3"/>
        <w:spacing w:before="120" w:beforeAutospacing="0" w:after="0" w:afterAutospacing="0" w:line="480" w:lineRule="atLeast"/>
        <w:rPr>
          <w:rFonts w:ascii="����" w:hAnsi="����" w:hint="eastAsia"/>
          <w:color w:val="000000"/>
        </w:rPr>
      </w:pPr>
      <w:r w:rsidRPr="00C56883">
        <w:rPr>
          <w:rFonts w:ascii="����" w:hAnsi="����"/>
          <w:color w:val="000000"/>
        </w:rPr>
        <w:t xml:space="preserve">　</w:t>
      </w:r>
      <w:r w:rsidRPr="00C56883">
        <w:rPr>
          <w:rFonts w:ascii="����" w:hAnsi="����"/>
          <w:b/>
          <w:bCs/>
          <w:color w:val="000000"/>
        </w:rPr>
        <w:t xml:space="preserve">　第一百九十七条</w:t>
      </w:r>
      <w:r w:rsidRPr="00C56883">
        <w:rPr>
          <w:rFonts w:ascii="����" w:hAnsi="����"/>
          <w:b/>
          <w:bCs/>
          <w:color w:val="000000"/>
        </w:rPr>
        <w:t> </w:t>
      </w:r>
      <w:r w:rsidRPr="00C56883">
        <w:rPr>
          <w:rFonts w:ascii="����" w:hAnsi="����"/>
          <w:color w:val="000000"/>
        </w:rPr>
        <w:t> </w:t>
      </w:r>
      <w:r w:rsidRPr="00C56883">
        <w:rPr>
          <w:rFonts w:ascii="����" w:hAnsi="����"/>
          <w:color w:val="000000"/>
        </w:rPr>
        <w:t>诉讼时效的</w:t>
      </w:r>
      <w:r w:rsidRPr="00017488">
        <w:rPr>
          <w:rFonts w:ascii="����" w:hAnsi="����"/>
          <w:color w:val="000000"/>
        </w:rPr>
        <w:t>期间、计算方法以及中止、中断的事由由法律规定，当事人约定无效。</w:t>
      </w:r>
    </w:p>
    <w:p w14:paraId="56013FA0"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017488">
        <w:rPr>
          <w:rFonts w:ascii="����" w:hAnsi="����"/>
          <w:color w:val="000000"/>
        </w:rPr>
        <w:t xml:space="preserve">　　当事人对诉讼时效利益的预先放弃无效</w:t>
      </w:r>
      <w:r w:rsidRPr="00C56883">
        <w:rPr>
          <w:rFonts w:ascii="����" w:hAnsi="����"/>
          <w:color w:val="000000"/>
        </w:rPr>
        <w:t>。</w:t>
      </w:r>
    </w:p>
    <w:p w14:paraId="08F2ADFA" w14:textId="77777777" w:rsidR="00C56883" w:rsidRPr="00C56883" w:rsidRDefault="00C56883" w:rsidP="00C56883">
      <w:pPr>
        <w:pStyle w:val="a3"/>
        <w:spacing w:before="120" w:beforeAutospacing="0" w:after="0" w:afterAutospacing="0" w:line="480" w:lineRule="atLeast"/>
        <w:rPr>
          <w:rFonts w:ascii="����" w:hAnsi="����" w:hint="eastAsia"/>
          <w:color w:val="000000"/>
        </w:rPr>
      </w:pPr>
      <w:r w:rsidRPr="00C56883">
        <w:rPr>
          <w:rFonts w:ascii="����" w:hAnsi="����"/>
          <w:b/>
          <w:bCs/>
          <w:color w:val="000000"/>
        </w:rPr>
        <w:t xml:space="preserve">　　第一百九十八条</w:t>
      </w:r>
      <w:r w:rsidRPr="00C56883">
        <w:rPr>
          <w:rFonts w:ascii="����" w:hAnsi="����"/>
          <w:color w:val="000000"/>
        </w:rPr>
        <w:t>  </w:t>
      </w:r>
      <w:r w:rsidRPr="00C56883">
        <w:rPr>
          <w:rFonts w:ascii="����" w:hAnsi="����"/>
          <w:color w:val="000000"/>
        </w:rPr>
        <w:t>法律对仲裁时效有规定的，依照其规定；没有规定的，适用诉讼时效的规定。</w:t>
      </w:r>
    </w:p>
    <w:p w14:paraId="139BC77A" w14:textId="1C9DD6D0" w:rsidR="00C56883" w:rsidRPr="00BF1DEF" w:rsidRDefault="00C56883" w:rsidP="00C56883">
      <w:pPr>
        <w:pStyle w:val="a3"/>
        <w:spacing w:before="120" w:beforeAutospacing="0" w:after="0" w:afterAutospacing="0" w:line="480" w:lineRule="atLeast"/>
      </w:pPr>
      <w:r w:rsidRPr="00C56883">
        <w:rPr>
          <w:rFonts w:ascii="����" w:hAnsi="����"/>
          <w:b/>
          <w:bCs/>
          <w:color w:val="000000"/>
        </w:rPr>
        <w:t xml:space="preserve">　　第一百九十九条</w:t>
      </w:r>
      <w:r w:rsidRPr="00C56883">
        <w:rPr>
          <w:rFonts w:ascii="����" w:hAnsi="����"/>
          <w:color w:val="000000"/>
        </w:rPr>
        <w:t>  </w:t>
      </w:r>
      <w:r w:rsidRPr="00C56883">
        <w:rPr>
          <w:rFonts w:ascii="����" w:hAnsi="����"/>
          <w:color w:val="000000"/>
        </w:rPr>
        <w:t>法律规定或者当事人约定的</w:t>
      </w:r>
      <w:r w:rsidRPr="00017488">
        <w:rPr>
          <w:rFonts w:ascii="����" w:hAnsi="����"/>
          <w:b/>
          <w:bCs/>
          <w:color w:val="000000"/>
        </w:rPr>
        <w:t>撤销权、解除权等权利</w:t>
      </w:r>
      <w:r w:rsidRPr="00C56883">
        <w:rPr>
          <w:rFonts w:ascii="����" w:hAnsi="����"/>
          <w:color w:val="000000"/>
        </w:rPr>
        <w:t>的存续期间，除法律另有规定外，自权利人知道或者应当知道权利产生之日起计算，</w:t>
      </w:r>
      <w:r w:rsidRPr="00017488">
        <w:rPr>
          <w:rFonts w:ascii="����" w:hAnsi="����"/>
          <w:b/>
          <w:bCs/>
          <w:color w:val="000000"/>
        </w:rPr>
        <w:t>不适用有关诉讼时效中止、中断和延长的规定</w:t>
      </w:r>
      <w:r w:rsidRPr="00C56883">
        <w:rPr>
          <w:rFonts w:ascii="����" w:hAnsi="����"/>
          <w:color w:val="000000"/>
        </w:rPr>
        <w:t>。存续期间届满，撤销权、解除权等权利消灭。</w:t>
      </w:r>
    </w:p>
    <w:sectPr w:rsidR="00C56883" w:rsidRPr="00BF1DEF">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用户" w:date="2021-03-22T08:55:00Z" w:initials="W用">
    <w:p w14:paraId="6A232875" w14:textId="27A21250" w:rsidR="007308AD" w:rsidRDefault="00017488" w:rsidP="007308AD">
      <w:pPr>
        <w:pStyle w:val="a7"/>
      </w:pPr>
      <w:r>
        <w:rPr>
          <w:rStyle w:val="a6"/>
        </w:rPr>
        <w:annotationRef/>
      </w:r>
      <w:r w:rsidR="007308AD">
        <w:rPr>
          <w:rFonts w:hint="eastAsia"/>
        </w:rPr>
        <w:t>一</w:t>
      </w:r>
      <w:r w:rsidR="007308AD">
        <w:rPr>
          <w:rFonts w:hint="eastAsia"/>
        </w:rPr>
        <w:t>、诉讼时效</w:t>
      </w:r>
      <w:r w:rsidR="007308AD">
        <w:rPr>
          <w:rFonts w:hint="eastAsia"/>
        </w:rPr>
        <w:t>的计算</w:t>
      </w:r>
    </w:p>
    <w:p w14:paraId="61D4137A" w14:textId="77777777" w:rsidR="007308AD" w:rsidRDefault="007308AD" w:rsidP="007308AD">
      <w:pPr>
        <w:pStyle w:val="a7"/>
      </w:pPr>
      <w:r>
        <w:rPr>
          <w:rFonts w:hint="eastAsia"/>
        </w:rPr>
        <w:t>（一）客观时效——损害之日二十年——特殊情况，可申请法院延长</w:t>
      </w:r>
    </w:p>
    <w:p w14:paraId="1FFC1CA5" w14:textId="41475041" w:rsidR="007308AD" w:rsidRDefault="007308AD" w:rsidP="007308AD">
      <w:pPr>
        <w:pStyle w:val="a7"/>
      </w:pPr>
      <w:r>
        <w:rPr>
          <w:rFonts w:hint="eastAsia"/>
        </w:rPr>
        <w:t>（二）主观时效——</w:t>
      </w:r>
      <w:r w:rsidR="0056747D">
        <w:rPr>
          <w:rFonts w:hint="eastAsia"/>
        </w:rPr>
        <w:t>一般，</w:t>
      </w:r>
      <w:r>
        <w:rPr>
          <w:rFonts w:hint="eastAsia"/>
        </w:rPr>
        <w:t>三年</w:t>
      </w:r>
      <w:r>
        <w:rPr>
          <w:rFonts w:hint="eastAsia"/>
        </w:rPr>
        <w:t>——起算</w:t>
      </w:r>
    </w:p>
    <w:p w14:paraId="27958EA4" w14:textId="25F403D7" w:rsidR="007308AD" w:rsidRDefault="007308AD" w:rsidP="007308AD">
      <w:pPr>
        <w:pStyle w:val="a7"/>
      </w:pPr>
      <w:r>
        <w:rPr>
          <w:rFonts w:hint="eastAsia"/>
        </w:rPr>
        <w:t>1</w:t>
      </w:r>
      <w:r>
        <w:rPr>
          <w:rFonts w:hint="eastAsia"/>
        </w:rPr>
        <w:t>、</w:t>
      </w:r>
      <w:r>
        <w:rPr>
          <w:rFonts w:hint="eastAsia"/>
        </w:rPr>
        <w:t>一般——知（应知）</w:t>
      </w:r>
    </w:p>
    <w:p w14:paraId="2F8DE61F" w14:textId="35FA9BBA" w:rsidR="007308AD" w:rsidRDefault="007308AD" w:rsidP="007308AD">
      <w:pPr>
        <w:pStyle w:val="a7"/>
      </w:pPr>
      <w:r>
        <w:rPr>
          <w:rFonts w:hint="eastAsia"/>
        </w:rPr>
        <w:t>2</w:t>
      </w:r>
      <w:r>
        <w:rPr>
          <w:rFonts w:hint="eastAsia"/>
        </w:rPr>
        <w:t>、</w:t>
      </w:r>
      <w:r>
        <w:rPr>
          <w:rFonts w:hint="eastAsia"/>
        </w:rPr>
        <w:t>特别——从法定</w:t>
      </w:r>
    </w:p>
    <w:p w14:paraId="71C2041B" w14:textId="6FA0C979" w:rsidR="007308AD" w:rsidRDefault="007308AD" w:rsidP="007308AD">
      <w:pPr>
        <w:pStyle w:val="a7"/>
      </w:pPr>
      <w:r>
        <w:rPr>
          <w:rFonts w:hint="eastAsia"/>
        </w:rPr>
        <w:t>（</w:t>
      </w:r>
      <w:r>
        <w:rPr>
          <w:rFonts w:hint="eastAsia"/>
        </w:rPr>
        <w:t>1</w:t>
      </w:r>
      <w:r>
        <w:rPr>
          <w:rFonts w:hint="eastAsia"/>
        </w:rPr>
        <w:t>）</w:t>
      </w:r>
      <w:r>
        <w:rPr>
          <w:rFonts w:hint="eastAsia"/>
        </w:rPr>
        <w:t>同一债务分期履行——最后一期履行期限届满</w:t>
      </w:r>
    </w:p>
    <w:p w14:paraId="3B247FA3" w14:textId="692A3DBF" w:rsidR="007308AD" w:rsidRDefault="007308AD" w:rsidP="007308AD">
      <w:pPr>
        <w:pStyle w:val="a7"/>
      </w:pPr>
      <w:r>
        <w:rPr>
          <w:rFonts w:hint="eastAsia"/>
        </w:rPr>
        <w:t>（</w:t>
      </w:r>
      <w:r>
        <w:rPr>
          <w:rFonts w:hint="eastAsia"/>
        </w:rPr>
        <w:t>2</w:t>
      </w:r>
      <w:r>
        <w:rPr>
          <w:rFonts w:hint="eastAsia"/>
        </w:rPr>
        <w:t>）</w:t>
      </w:r>
      <w:r>
        <w:rPr>
          <w:rFonts w:hint="eastAsia"/>
        </w:rPr>
        <w:t>无（限）人对法定代理人——自法定代理终止</w:t>
      </w:r>
    </w:p>
    <w:p w14:paraId="0241656A" w14:textId="0333A974" w:rsidR="007308AD" w:rsidRDefault="007308AD" w:rsidP="007308AD">
      <w:pPr>
        <w:pStyle w:val="a7"/>
        <w:rPr>
          <w:rFonts w:hint="eastAsia"/>
        </w:rPr>
      </w:pPr>
      <w:r>
        <w:rPr>
          <w:rFonts w:hint="eastAsia"/>
        </w:rPr>
        <w:t>（</w:t>
      </w:r>
      <w:r>
        <w:rPr>
          <w:rFonts w:hint="eastAsia"/>
        </w:rPr>
        <w:t>3</w:t>
      </w:r>
      <w:r>
        <w:rPr>
          <w:rFonts w:hint="eastAsia"/>
        </w:rPr>
        <w:t>）</w:t>
      </w:r>
      <w:r>
        <w:rPr>
          <w:rFonts w:hint="eastAsia"/>
        </w:rPr>
        <w:t>未成年人受性侵——自年满十八周</w:t>
      </w:r>
    </w:p>
    <w:p w14:paraId="7DDAC042" w14:textId="77777777" w:rsidR="007308AD" w:rsidRDefault="007308AD" w:rsidP="007308AD">
      <w:pPr>
        <w:pStyle w:val="a7"/>
        <w:rPr>
          <w:rFonts w:hint="eastAsia"/>
        </w:rPr>
      </w:pPr>
    </w:p>
    <w:p w14:paraId="483245FD" w14:textId="0AAC20F5" w:rsidR="009774B4" w:rsidRDefault="009774B4" w:rsidP="009774B4">
      <w:pPr>
        <w:pStyle w:val="a7"/>
      </w:pPr>
      <w:r>
        <w:rPr>
          <w:rFonts w:hint="eastAsia"/>
        </w:rPr>
        <w:t>注（</w:t>
      </w:r>
      <w:r>
        <w:rPr>
          <w:rFonts w:hint="eastAsia"/>
        </w:rPr>
        <w:t>一</w:t>
      </w:r>
      <w:r>
        <w:rPr>
          <w:rFonts w:hint="eastAsia"/>
        </w:rPr>
        <w:t>）：期间的法定性</w:t>
      </w:r>
    </w:p>
    <w:p w14:paraId="4BB3DFB0" w14:textId="77777777" w:rsidR="009774B4" w:rsidRDefault="009774B4" w:rsidP="009774B4">
      <w:pPr>
        <w:pStyle w:val="a7"/>
        <w:rPr>
          <w:rFonts w:hint="eastAsia"/>
        </w:rPr>
      </w:pPr>
      <w:r>
        <w:rPr>
          <w:rFonts w:hint="eastAsia"/>
        </w:rPr>
        <w:t>1</w:t>
      </w:r>
      <w:r>
        <w:rPr>
          <w:rFonts w:hint="eastAsia"/>
        </w:rPr>
        <w:t>、当事人约定——无效</w:t>
      </w:r>
    </w:p>
    <w:p w14:paraId="08791353" w14:textId="77777777" w:rsidR="009774B4" w:rsidRDefault="009774B4" w:rsidP="009774B4">
      <w:pPr>
        <w:pStyle w:val="a7"/>
        <w:rPr>
          <w:rFonts w:hint="eastAsia"/>
        </w:rPr>
      </w:pPr>
      <w:r>
        <w:rPr>
          <w:rFonts w:hint="eastAsia"/>
        </w:rPr>
        <w:t>2</w:t>
      </w:r>
      <w:r>
        <w:rPr>
          <w:rFonts w:hint="eastAsia"/>
        </w:rPr>
        <w:t>、预先放弃诉讼时效利益——无效</w:t>
      </w:r>
    </w:p>
    <w:p w14:paraId="66D4658B" w14:textId="77777777" w:rsidR="009774B4" w:rsidRDefault="009774B4" w:rsidP="009774B4">
      <w:pPr>
        <w:pStyle w:val="a7"/>
        <w:rPr>
          <w:rFonts w:hint="eastAsia"/>
        </w:rPr>
      </w:pPr>
    </w:p>
    <w:p w14:paraId="4238301E" w14:textId="61609FA8" w:rsidR="007308AD" w:rsidRDefault="007308AD" w:rsidP="009774B4">
      <w:pPr>
        <w:pStyle w:val="a7"/>
        <w:rPr>
          <w:rFonts w:hint="eastAsia"/>
        </w:rPr>
      </w:pPr>
      <w:r>
        <w:rPr>
          <w:rFonts w:hint="eastAsia"/>
        </w:rPr>
        <w:t>注（</w:t>
      </w:r>
      <w:r w:rsidR="009774B4">
        <w:rPr>
          <w:rFonts w:hint="eastAsia"/>
        </w:rPr>
        <w:t>二</w:t>
      </w:r>
      <w:r>
        <w:rPr>
          <w:rFonts w:hint="eastAsia"/>
        </w:rPr>
        <w:t>）：中止与中断</w:t>
      </w:r>
    </w:p>
    <w:p w14:paraId="55F8100D" w14:textId="36A16EBF" w:rsidR="007308AD" w:rsidRDefault="007308AD" w:rsidP="007308AD">
      <w:pPr>
        <w:pStyle w:val="a7"/>
      </w:pPr>
      <w:r>
        <w:rPr>
          <w:rFonts w:hint="eastAsia"/>
        </w:rPr>
        <w:t>1</w:t>
      </w:r>
      <w:r>
        <w:rPr>
          <w:rFonts w:hint="eastAsia"/>
        </w:rPr>
        <w:t>、</w:t>
      </w:r>
      <w:r>
        <w:rPr>
          <w:rFonts w:hint="eastAsia"/>
        </w:rPr>
        <w:t>中止——最后六个月内出现法定事由——事由消除，再加六个月</w:t>
      </w:r>
    </w:p>
    <w:p w14:paraId="52D9D3E9" w14:textId="595AAE2B" w:rsidR="009774B4" w:rsidRDefault="007308AD" w:rsidP="007308AD">
      <w:pPr>
        <w:pStyle w:val="a7"/>
        <w:rPr>
          <w:rFonts w:hint="eastAsia"/>
        </w:rPr>
      </w:pPr>
      <w:r>
        <w:rPr>
          <w:rFonts w:hint="eastAsia"/>
        </w:rPr>
        <w:t>2</w:t>
      </w:r>
      <w:r>
        <w:rPr>
          <w:rFonts w:hint="eastAsia"/>
        </w:rPr>
        <w:t>、</w:t>
      </w:r>
      <w:r>
        <w:rPr>
          <w:rFonts w:hint="eastAsia"/>
        </w:rPr>
        <w:t>中断——重新计算</w:t>
      </w:r>
    </w:p>
    <w:p w14:paraId="5E1A1D50" w14:textId="77777777" w:rsidR="009774B4" w:rsidRDefault="009774B4" w:rsidP="007308AD">
      <w:pPr>
        <w:pStyle w:val="a7"/>
        <w:rPr>
          <w:rFonts w:hint="eastAsia"/>
        </w:rPr>
      </w:pPr>
    </w:p>
    <w:p w14:paraId="777E3FFF" w14:textId="3DF65A7E" w:rsidR="00662BBE" w:rsidRDefault="009774B4" w:rsidP="00662BBE">
      <w:pPr>
        <w:pStyle w:val="a7"/>
      </w:pPr>
      <w:r>
        <w:rPr>
          <w:rFonts w:hint="eastAsia"/>
        </w:rPr>
        <w:t>注（三）：</w:t>
      </w:r>
      <w:r w:rsidR="00662BBE">
        <w:rPr>
          <w:rFonts w:hint="eastAsia"/>
        </w:rPr>
        <w:t>撤销权、解除权等权利</w:t>
      </w:r>
      <w:r>
        <w:rPr>
          <w:rFonts w:hint="eastAsia"/>
        </w:rPr>
        <w:t>——</w:t>
      </w:r>
      <w:r w:rsidR="00662BBE">
        <w:rPr>
          <w:rFonts w:hint="eastAsia"/>
        </w:rPr>
        <w:t>不适用中止、中断、延长</w:t>
      </w:r>
    </w:p>
    <w:p w14:paraId="4C0EA168" w14:textId="11DA1C59" w:rsidR="007308AD" w:rsidRDefault="007308AD" w:rsidP="007308AD">
      <w:pPr>
        <w:pStyle w:val="a7"/>
      </w:pPr>
    </w:p>
    <w:p w14:paraId="21DC34C7" w14:textId="51E304DF" w:rsidR="007308AD" w:rsidRDefault="007308AD" w:rsidP="007308AD">
      <w:pPr>
        <w:pStyle w:val="a7"/>
      </w:pPr>
      <w:r>
        <w:rPr>
          <w:rFonts w:hint="eastAsia"/>
        </w:rPr>
        <w:t>二</w:t>
      </w:r>
      <w:r>
        <w:rPr>
          <w:rFonts w:hint="eastAsia"/>
        </w:rPr>
        <w:t>、诉讼时效的效力</w:t>
      </w:r>
    </w:p>
    <w:p w14:paraId="17E182A6" w14:textId="77777777" w:rsidR="007308AD" w:rsidRDefault="007308AD" w:rsidP="007308AD">
      <w:pPr>
        <w:pStyle w:val="a7"/>
      </w:pPr>
      <w:r>
        <w:rPr>
          <w:rFonts w:hint="eastAsia"/>
        </w:rPr>
        <w:t>（一）法院——不可主动适用</w:t>
      </w:r>
    </w:p>
    <w:p w14:paraId="7B37D186" w14:textId="2EFA68E5" w:rsidR="007308AD" w:rsidRDefault="007308AD">
      <w:pPr>
        <w:pStyle w:val="a7"/>
        <w:rPr>
          <w:rFonts w:hint="eastAsia"/>
        </w:rPr>
      </w:pPr>
      <w:r>
        <w:rPr>
          <w:rFonts w:hint="eastAsia"/>
        </w:rPr>
        <w:t>（二）义务人——可提抗辩——但如同意履行，不得再抗辩（自愿履行，不得要还）</w:t>
      </w:r>
    </w:p>
    <w:p w14:paraId="50EAEB52" w14:textId="66968246" w:rsidR="00017488" w:rsidRDefault="00017488">
      <w:pPr>
        <w:pStyle w:val="a7"/>
      </w:pPr>
    </w:p>
    <w:p w14:paraId="37733B8D" w14:textId="1647E033" w:rsidR="00017488" w:rsidRDefault="00662BBE">
      <w:pPr>
        <w:pStyle w:val="a7"/>
      </w:pPr>
      <w:r>
        <w:rPr>
          <w:rFonts w:hint="eastAsia"/>
        </w:rPr>
        <w:t>三</w:t>
      </w:r>
      <w:r w:rsidR="00017488">
        <w:rPr>
          <w:rFonts w:hint="eastAsia"/>
        </w:rPr>
        <w:t>、</w:t>
      </w:r>
      <w:r w:rsidR="008A3991">
        <w:rPr>
          <w:rFonts w:hint="eastAsia"/>
        </w:rPr>
        <w:t>不适用诉讼时效的</w:t>
      </w:r>
    </w:p>
    <w:p w14:paraId="597E7ACC" w14:textId="77777777" w:rsidR="008A3991" w:rsidRDefault="008A3991">
      <w:pPr>
        <w:pStyle w:val="a7"/>
      </w:pPr>
      <w:r>
        <w:rPr>
          <w:rFonts w:hint="eastAsia"/>
        </w:rPr>
        <w:t>（一）停侵、排妨、消危</w:t>
      </w:r>
    </w:p>
    <w:p w14:paraId="41C41376" w14:textId="7F44BA7F" w:rsidR="008A3991" w:rsidRDefault="008A3991">
      <w:pPr>
        <w:pStyle w:val="a7"/>
      </w:pPr>
      <w:r>
        <w:rPr>
          <w:rFonts w:hint="eastAsia"/>
        </w:rPr>
        <w:t>（二）不动</w:t>
      </w:r>
      <w:r w:rsidR="007308AD">
        <w:rPr>
          <w:rFonts w:hint="eastAsia"/>
        </w:rPr>
        <w:t>产</w:t>
      </w:r>
      <w:r>
        <w:rPr>
          <w:rFonts w:hint="eastAsia"/>
        </w:rPr>
        <w:t>和登记动产的返还</w:t>
      </w:r>
    </w:p>
    <w:p w14:paraId="416899E1" w14:textId="77777777" w:rsidR="008A3991" w:rsidRDefault="008A3991">
      <w:pPr>
        <w:pStyle w:val="a7"/>
      </w:pPr>
      <w:r>
        <w:rPr>
          <w:rFonts w:hint="eastAsia"/>
        </w:rPr>
        <w:t>（三）抚（赡、扶）费</w:t>
      </w:r>
    </w:p>
    <w:p w14:paraId="57E7F916" w14:textId="77777777" w:rsidR="008A3991" w:rsidRDefault="008A3991">
      <w:pPr>
        <w:pStyle w:val="a7"/>
      </w:pPr>
      <w:r>
        <w:rPr>
          <w:rFonts w:hint="eastAsia"/>
        </w:rPr>
        <w:t>（四）其他法定</w:t>
      </w:r>
    </w:p>
    <w:p w14:paraId="4348D949" w14:textId="7097AE1D" w:rsidR="008A3991" w:rsidRDefault="008A3991">
      <w:pPr>
        <w:pStyle w:val="a7"/>
      </w:pPr>
    </w:p>
    <w:p w14:paraId="765F76C4" w14:textId="51307708" w:rsidR="008A3991" w:rsidRPr="008A3991" w:rsidRDefault="00662BBE">
      <w:pPr>
        <w:pStyle w:val="a7"/>
      </w:pPr>
      <w:r>
        <w:rPr>
          <w:rFonts w:hint="eastAsia"/>
        </w:rPr>
        <w:t>四</w:t>
      </w:r>
      <w:r w:rsidR="00EA3889">
        <w:rPr>
          <w:rFonts w:hint="eastAsia"/>
        </w:rPr>
        <w:t>、仲裁时效——有规定，从规定——无规定，参照诉讼时效</w:t>
      </w:r>
      <w:bookmarkStart w:id="1" w:name="_GoBack"/>
      <w:bookmarkEnd w:id="1"/>
    </w:p>
    <w:p w14:paraId="4E98B6AD" w14:textId="6D9E2704" w:rsidR="008A3991" w:rsidRDefault="008A3991">
      <w:pPr>
        <w:pStyle w:val="a7"/>
      </w:pPr>
    </w:p>
  </w:comment>
  <w:comment w:id="2" w:author="Windows 用户" w:date="2021-02-14T17:45:00Z" w:initials="W用">
    <w:p w14:paraId="5B6AAE31" w14:textId="2886BA7E" w:rsidR="0024142D" w:rsidRDefault="0024142D">
      <w:pPr>
        <w:pStyle w:val="a7"/>
      </w:pPr>
      <w:r>
        <w:rPr>
          <w:rStyle w:val="a6"/>
        </w:rPr>
        <w:annotationRef/>
      </w:r>
      <w:r w:rsidRPr="0024142D">
        <w:rPr>
          <w:rFonts w:hint="eastAsia"/>
          <w:color w:val="FF0000"/>
        </w:rPr>
        <w:t>——等效情形，有哪些？</w:t>
      </w:r>
    </w:p>
  </w:comment>
  <w:comment w:id="3" w:author="Windows 用户" w:date="2021-02-14T17:40:00Z" w:initials="W用">
    <w:p w14:paraId="4A1B3673" w14:textId="18279883" w:rsidR="009F770B" w:rsidRDefault="009F770B">
      <w:pPr>
        <w:pStyle w:val="a7"/>
      </w:pPr>
      <w:r>
        <w:rPr>
          <w:rStyle w:val="a6"/>
        </w:rPr>
        <w:annotationRef/>
      </w:r>
      <w:r>
        <w:rPr>
          <w:rFonts w:hint="eastAsia"/>
        </w:rPr>
        <w:t>——</w:t>
      </w:r>
      <w:r>
        <w:rPr>
          <w:rFonts w:hint="eastAsia"/>
        </w:rPr>
        <w:t>N</w:t>
      </w:r>
      <w:r>
        <w:t>OT</w:t>
      </w:r>
      <w:r>
        <w:rPr>
          <w:rFonts w:hint="eastAsia"/>
        </w:rPr>
        <w:t>未登记的动产物权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98B6AD" w15:done="0"/>
  <w15:commentEx w15:paraId="5B6AAE31" w15:done="0"/>
  <w15:commentEx w15:paraId="4A1B3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DAAC" w16cex:dateUtc="2021-02-14T09:21:00Z"/>
  <w16cex:commentExtensible w16cex:durableId="23D3E057" w16cex:dateUtc="2021-02-14T09:45:00Z"/>
  <w16cex:commentExtensible w16cex:durableId="23D3DEF3" w16cex:dateUtc="2021-02-14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98B6AD" w16cid:durableId="23D3DAAC"/>
  <w16cid:commentId w16cid:paraId="5B6AAE31" w16cid:durableId="23D3E057"/>
  <w16cid:commentId w16cid:paraId="4A1B3673" w16cid:durableId="23D3DE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49995" w14:textId="77777777" w:rsidR="00F265BD" w:rsidRDefault="00F265BD" w:rsidP="008F7A08">
      <w:r>
        <w:separator/>
      </w:r>
    </w:p>
  </w:endnote>
  <w:endnote w:type="continuationSeparator" w:id="0">
    <w:p w14:paraId="319CD0ED" w14:textId="77777777" w:rsidR="00F265BD" w:rsidRDefault="00F265BD" w:rsidP="008F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86191"/>
      <w:docPartObj>
        <w:docPartGallery w:val="Page Numbers (Bottom of Page)"/>
        <w:docPartUnique/>
      </w:docPartObj>
    </w:sdtPr>
    <w:sdtEndPr/>
    <w:sdtContent>
      <w:sdt>
        <w:sdtPr>
          <w:id w:val="1728636285"/>
          <w:docPartObj>
            <w:docPartGallery w:val="Page Numbers (Top of Page)"/>
            <w:docPartUnique/>
          </w:docPartObj>
        </w:sdtPr>
        <w:sdtEndPr/>
        <w:sdtContent>
          <w:p w14:paraId="4E40E154" w14:textId="73476839" w:rsidR="008F7A08" w:rsidRDefault="008F7A0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774B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74B4">
              <w:rPr>
                <w:b/>
                <w:bCs/>
                <w:noProof/>
              </w:rPr>
              <w:t>2</w:t>
            </w:r>
            <w:r>
              <w:rPr>
                <w:b/>
                <w:bCs/>
                <w:sz w:val="24"/>
                <w:szCs w:val="24"/>
              </w:rPr>
              <w:fldChar w:fldCharType="end"/>
            </w:r>
          </w:p>
        </w:sdtContent>
      </w:sdt>
    </w:sdtContent>
  </w:sdt>
  <w:p w14:paraId="1C037368" w14:textId="77777777" w:rsidR="008F7A08" w:rsidRDefault="008F7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5A054" w14:textId="77777777" w:rsidR="00F265BD" w:rsidRDefault="00F265BD" w:rsidP="008F7A08">
      <w:r>
        <w:separator/>
      </w:r>
    </w:p>
  </w:footnote>
  <w:footnote w:type="continuationSeparator" w:id="0">
    <w:p w14:paraId="152B7927" w14:textId="77777777" w:rsidR="00F265BD" w:rsidRDefault="00F265BD" w:rsidP="008F7A0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DB"/>
    <w:rsid w:val="00017488"/>
    <w:rsid w:val="00060669"/>
    <w:rsid w:val="000A3AD7"/>
    <w:rsid w:val="00155A7B"/>
    <w:rsid w:val="001E4EC3"/>
    <w:rsid w:val="0024142D"/>
    <w:rsid w:val="00243A6A"/>
    <w:rsid w:val="002854B1"/>
    <w:rsid w:val="0034129C"/>
    <w:rsid w:val="00352FC2"/>
    <w:rsid w:val="00400E62"/>
    <w:rsid w:val="00435A86"/>
    <w:rsid w:val="004C2A12"/>
    <w:rsid w:val="004E0E9D"/>
    <w:rsid w:val="0056747D"/>
    <w:rsid w:val="00662BBE"/>
    <w:rsid w:val="00697AC1"/>
    <w:rsid w:val="00703F90"/>
    <w:rsid w:val="007308AD"/>
    <w:rsid w:val="007767C3"/>
    <w:rsid w:val="00787511"/>
    <w:rsid w:val="007A3BDF"/>
    <w:rsid w:val="00822AED"/>
    <w:rsid w:val="008762FE"/>
    <w:rsid w:val="00896A39"/>
    <w:rsid w:val="008A3991"/>
    <w:rsid w:val="008F7A08"/>
    <w:rsid w:val="00935709"/>
    <w:rsid w:val="009726D8"/>
    <w:rsid w:val="009774B4"/>
    <w:rsid w:val="009F770B"/>
    <w:rsid w:val="00A9768C"/>
    <w:rsid w:val="00AC6705"/>
    <w:rsid w:val="00B22BD0"/>
    <w:rsid w:val="00B4092F"/>
    <w:rsid w:val="00B47035"/>
    <w:rsid w:val="00BF1DEF"/>
    <w:rsid w:val="00C56883"/>
    <w:rsid w:val="00CA54DB"/>
    <w:rsid w:val="00D750E3"/>
    <w:rsid w:val="00DB1825"/>
    <w:rsid w:val="00DC2261"/>
    <w:rsid w:val="00E1544B"/>
    <w:rsid w:val="00E41232"/>
    <w:rsid w:val="00EA3889"/>
    <w:rsid w:val="00F265BD"/>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5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06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70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60669"/>
    <w:rPr>
      <w:b/>
      <w:bCs/>
      <w:kern w:val="44"/>
      <w:sz w:val="44"/>
      <w:szCs w:val="44"/>
    </w:rPr>
  </w:style>
  <w:style w:type="paragraph" w:styleId="a4">
    <w:name w:val="header"/>
    <w:basedOn w:val="a"/>
    <w:link w:val="Char"/>
    <w:uiPriority w:val="99"/>
    <w:unhideWhenUsed/>
    <w:rsid w:val="008F7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7A08"/>
    <w:rPr>
      <w:sz w:val="18"/>
      <w:szCs w:val="18"/>
    </w:rPr>
  </w:style>
  <w:style w:type="paragraph" w:styleId="a5">
    <w:name w:val="footer"/>
    <w:basedOn w:val="a"/>
    <w:link w:val="Char0"/>
    <w:uiPriority w:val="99"/>
    <w:unhideWhenUsed/>
    <w:rsid w:val="008F7A08"/>
    <w:pPr>
      <w:tabs>
        <w:tab w:val="center" w:pos="4153"/>
        <w:tab w:val="right" w:pos="8306"/>
      </w:tabs>
      <w:snapToGrid w:val="0"/>
      <w:jc w:val="left"/>
    </w:pPr>
    <w:rPr>
      <w:sz w:val="18"/>
      <w:szCs w:val="18"/>
    </w:rPr>
  </w:style>
  <w:style w:type="character" w:customStyle="1" w:styleId="Char0">
    <w:name w:val="页脚 Char"/>
    <w:basedOn w:val="a0"/>
    <w:link w:val="a5"/>
    <w:uiPriority w:val="99"/>
    <w:rsid w:val="008F7A08"/>
    <w:rPr>
      <w:sz w:val="18"/>
      <w:szCs w:val="18"/>
    </w:rPr>
  </w:style>
  <w:style w:type="character" w:styleId="a6">
    <w:name w:val="annotation reference"/>
    <w:basedOn w:val="a0"/>
    <w:uiPriority w:val="99"/>
    <w:semiHidden/>
    <w:unhideWhenUsed/>
    <w:rsid w:val="00017488"/>
    <w:rPr>
      <w:sz w:val="21"/>
      <w:szCs w:val="21"/>
    </w:rPr>
  </w:style>
  <w:style w:type="paragraph" w:styleId="a7">
    <w:name w:val="annotation text"/>
    <w:basedOn w:val="a"/>
    <w:link w:val="Char1"/>
    <w:uiPriority w:val="99"/>
    <w:semiHidden/>
    <w:unhideWhenUsed/>
    <w:rsid w:val="00017488"/>
    <w:pPr>
      <w:jc w:val="left"/>
    </w:pPr>
  </w:style>
  <w:style w:type="character" w:customStyle="1" w:styleId="Char1">
    <w:name w:val="批注文字 Char"/>
    <w:basedOn w:val="a0"/>
    <w:link w:val="a7"/>
    <w:uiPriority w:val="99"/>
    <w:semiHidden/>
    <w:rsid w:val="00017488"/>
  </w:style>
  <w:style w:type="paragraph" w:styleId="a8">
    <w:name w:val="annotation subject"/>
    <w:basedOn w:val="a7"/>
    <w:next w:val="a7"/>
    <w:link w:val="Char2"/>
    <w:uiPriority w:val="99"/>
    <w:semiHidden/>
    <w:unhideWhenUsed/>
    <w:rsid w:val="00017488"/>
    <w:rPr>
      <w:b/>
      <w:bCs/>
    </w:rPr>
  </w:style>
  <w:style w:type="character" w:customStyle="1" w:styleId="Char2">
    <w:name w:val="批注主题 Char"/>
    <w:basedOn w:val="Char1"/>
    <w:link w:val="a8"/>
    <w:uiPriority w:val="99"/>
    <w:semiHidden/>
    <w:rsid w:val="00017488"/>
    <w:rPr>
      <w:b/>
      <w:bCs/>
    </w:rPr>
  </w:style>
  <w:style w:type="paragraph" w:styleId="a9">
    <w:name w:val="Balloon Text"/>
    <w:basedOn w:val="a"/>
    <w:link w:val="Char3"/>
    <w:uiPriority w:val="99"/>
    <w:semiHidden/>
    <w:unhideWhenUsed/>
    <w:rsid w:val="007308AD"/>
    <w:rPr>
      <w:sz w:val="18"/>
      <w:szCs w:val="18"/>
    </w:rPr>
  </w:style>
  <w:style w:type="character" w:customStyle="1" w:styleId="Char3">
    <w:name w:val="批注框文本 Char"/>
    <w:basedOn w:val="a0"/>
    <w:link w:val="a9"/>
    <w:uiPriority w:val="99"/>
    <w:semiHidden/>
    <w:rsid w:val="007308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606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70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060669"/>
    <w:rPr>
      <w:b/>
      <w:bCs/>
      <w:kern w:val="44"/>
      <w:sz w:val="44"/>
      <w:szCs w:val="44"/>
    </w:rPr>
  </w:style>
  <w:style w:type="paragraph" w:styleId="a4">
    <w:name w:val="header"/>
    <w:basedOn w:val="a"/>
    <w:link w:val="Char"/>
    <w:uiPriority w:val="99"/>
    <w:unhideWhenUsed/>
    <w:rsid w:val="008F7A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7A08"/>
    <w:rPr>
      <w:sz w:val="18"/>
      <w:szCs w:val="18"/>
    </w:rPr>
  </w:style>
  <w:style w:type="paragraph" w:styleId="a5">
    <w:name w:val="footer"/>
    <w:basedOn w:val="a"/>
    <w:link w:val="Char0"/>
    <w:uiPriority w:val="99"/>
    <w:unhideWhenUsed/>
    <w:rsid w:val="008F7A08"/>
    <w:pPr>
      <w:tabs>
        <w:tab w:val="center" w:pos="4153"/>
        <w:tab w:val="right" w:pos="8306"/>
      </w:tabs>
      <w:snapToGrid w:val="0"/>
      <w:jc w:val="left"/>
    </w:pPr>
    <w:rPr>
      <w:sz w:val="18"/>
      <w:szCs w:val="18"/>
    </w:rPr>
  </w:style>
  <w:style w:type="character" w:customStyle="1" w:styleId="Char0">
    <w:name w:val="页脚 Char"/>
    <w:basedOn w:val="a0"/>
    <w:link w:val="a5"/>
    <w:uiPriority w:val="99"/>
    <w:rsid w:val="008F7A08"/>
    <w:rPr>
      <w:sz w:val="18"/>
      <w:szCs w:val="18"/>
    </w:rPr>
  </w:style>
  <w:style w:type="character" w:styleId="a6">
    <w:name w:val="annotation reference"/>
    <w:basedOn w:val="a0"/>
    <w:uiPriority w:val="99"/>
    <w:semiHidden/>
    <w:unhideWhenUsed/>
    <w:rsid w:val="00017488"/>
    <w:rPr>
      <w:sz w:val="21"/>
      <w:szCs w:val="21"/>
    </w:rPr>
  </w:style>
  <w:style w:type="paragraph" w:styleId="a7">
    <w:name w:val="annotation text"/>
    <w:basedOn w:val="a"/>
    <w:link w:val="Char1"/>
    <w:uiPriority w:val="99"/>
    <w:semiHidden/>
    <w:unhideWhenUsed/>
    <w:rsid w:val="00017488"/>
    <w:pPr>
      <w:jc w:val="left"/>
    </w:pPr>
  </w:style>
  <w:style w:type="character" w:customStyle="1" w:styleId="Char1">
    <w:name w:val="批注文字 Char"/>
    <w:basedOn w:val="a0"/>
    <w:link w:val="a7"/>
    <w:uiPriority w:val="99"/>
    <w:semiHidden/>
    <w:rsid w:val="00017488"/>
  </w:style>
  <w:style w:type="paragraph" w:styleId="a8">
    <w:name w:val="annotation subject"/>
    <w:basedOn w:val="a7"/>
    <w:next w:val="a7"/>
    <w:link w:val="Char2"/>
    <w:uiPriority w:val="99"/>
    <w:semiHidden/>
    <w:unhideWhenUsed/>
    <w:rsid w:val="00017488"/>
    <w:rPr>
      <w:b/>
      <w:bCs/>
    </w:rPr>
  </w:style>
  <w:style w:type="character" w:customStyle="1" w:styleId="Char2">
    <w:name w:val="批注主题 Char"/>
    <w:basedOn w:val="Char1"/>
    <w:link w:val="a8"/>
    <w:uiPriority w:val="99"/>
    <w:semiHidden/>
    <w:rsid w:val="00017488"/>
    <w:rPr>
      <w:b/>
      <w:bCs/>
    </w:rPr>
  </w:style>
  <w:style w:type="paragraph" w:styleId="a9">
    <w:name w:val="Balloon Text"/>
    <w:basedOn w:val="a"/>
    <w:link w:val="Char3"/>
    <w:uiPriority w:val="99"/>
    <w:semiHidden/>
    <w:unhideWhenUsed/>
    <w:rsid w:val="007308AD"/>
    <w:rPr>
      <w:sz w:val="18"/>
      <w:szCs w:val="18"/>
    </w:rPr>
  </w:style>
  <w:style w:type="character" w:customStyle="1" w:styleId="Char3">
    <w:name w:val="批注框文本 Char"/>
    <w:basedOn w:val="a0"/>
    <w:link w:val="a9"/>
    <w:uiPriority w:val="99"/>
    <w:semiHidden/>
    <w:rsid w:val="007308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20075">
      <w:bodyDiv w:val="1"/>
      <w:marLeft w:val="0"/>
      <w:marRight w:val="0"/>
      <w:marTop w:val="0"/>
      <w:marBottom w:val="0"/>
      <w:divBdr>
        <w:top w:val="none" w:sz="0" w:space="0" w:color="auto"/>
        <w:left w:val="none" w:sz="0" w:space="0" w:color="auto"/>
        <w:bottom w:val="none" w:sz="0" w:space="0" w:color="auto"/>
        <w:right w:val="none" w:sz="0" w:space="0" w:color="auto"/>
      </w:divBdr>
    </w:div>
    <w:div w:id="170604906">
      <w:bodyDiv w:val="1"/>
      <w:marLeft w:val="0"/>
      <w:marRight w:val="0"/>
      <w:marTop w:val="0"/>
      <w:marBottom w:val="0"/>
      <w:divBdr>
        <w:top w:val="none" w:sz="0" w:space="0" w:color="auto"/>
        <w:left w:val="none" w:sz="0" w:space="0" w:color="auto"/>
        <w:bottom w:val="none" w:sz="0" w:space="0" w:color="auto"/>
        <w:right w:val="none" w:sz="0" w:space="0" w:color="auto"/>
      </w:divBdr>
    </w:div>
    <w:div w:id="266542132">
      <w:bodyDiv w:val="1"/>
      <w:marLeft w:val="0"/>
      <w:marRight w:val="0"/>
      <w:marTop w:val="0"/>
      <w:marBottom w:val="0"/>
      <w:divBdr>
        <w:top w:val="none" w:sz="0" w:space="0" w:color="auto"/>
        <w:left w:val="none" w:sz="0" w:space="0" w:color="auto"/>
        <w:bottom w:val="none" w:sz="0" w:space="0" w:color="auto"/>
        <w:right w:val="none" w:sz="0" w:space="0" w:color="auto"/>
      </w:divBdr>
    </w:div>
    <w:div w:id="595284090">
      <w:bodyDiv w:val="1"/>
      <w:marLeft w:val="0"/>
      <w:marRight w:val="0"/>
      <w:marTop w:val="0"/>
      <w:marBottom w:val="0"/>
      <w:divBdr>
        <w:top w:val="none" w:sz="0" w:space="0" w:color="auto"/>
        <w:left w:val="none" w:sz="0" w:space="0" w:color="auto"/>
        <w:bottom w:val="none" w:sz="0" w:space="0" w:color="auto"/>
        <w:right w:val="none" w:sz="0" w:space="0" w:color="auto"/>
      </w:divBdr>
    </w:div>
    <w:div w:id="852231337">
      <w:bodyDiv w:val="1"/>
      <w:marLeft w:val="0"/>
      <w:marRight w:val="0"/>
      <w:marTop w:val="0"/>
      <w:marBottom w:val="0"/>
      <w:divBdr>
        <w:top w:val="none" w:sz="0" w:space="0" w:color="auto"/>
        <w:left w:val="none" w:sz="0" w:space="0" w:color="auto"/>
        <w:bottom w:val="none" w:sz="0" w:space="0" w:color="auto"/>
        <w:right w:val="none" w:sz="0" w:space="0" w:color="auto"/>
      </w:divBdr>
    </w:div>
    <w:div w:id="879391143">
      <w:bodyDiv w:val="1"/>
      <w:marLeft w:val="0"/>
      <w:marRight w:val="0"/>
      <w:marTop w:val="0"/>
      <w:marBottom w:val="0"/>
      <w:divBdr>
        <w:top w:val="none" w:sz="0" w:space="0" w:color="auto"/>
        <w:left w:val="none" w:sz="0" w:space="0" w:color="auto"/>
        <w:bottom w:val="none" w:sz="0" w:space="0" w:color="auto"/>
        <w:right w:val="none" w:sz="0" w:space="0" w:color="auto"/>
      </w:divBdr>
    </w:div>
    <w:div w:id="1131364562">
      <w:bodyDiv w:val="1"/>
      <w:marLeft w:val="0"/>
      <w:marRight w:val="0"/>
      <w:marTop w:val="0"/>
      <w:marBottom w:val="0"/>
      <w:divBdr>
        <w:top w:val="none" w:sz="0" w:space="0" w:color="auto"/>
        <w:left w:val="none" w:sz="0" w:space="0" w:color="auto"/>
        <w:bottom w:val="none" w:sz="0" w:space="0" w:color="auto"/>
        <w:right w:val="none" w:sz="0" w:space="0" w:color="auto"/>
      </w:divBdr>
    </w:div>
    <w:div w:id="1188373205">
      <w:bodyDiv w:val="1"/>
      <w:marLeft w:val="0"/>
      <w:marRight w:val="0"/>
      <w:marTop w:val="0"/>
      <w:marBottom w:val="0"/>
      <w:divBdr>
        <w:top w:val="none" w:sz="0" w:space="0" w:color="auto"/>
        <w:left w:val="none" w:sz="0" w:space="0" w:color="auto"/>
        <w:bottom w:val="none" w:sz="0" w:space="0" w:color="auto"/>
        <w:right w:val="none" w:sz="0" w:space="0" w:color="auto"/>
      </w:divBdr>
    </w:div>
    <w:div w:id="14120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10</cp:revision>
  <dcterms:created xsi:type="dcterms:W3CDTF">2020-07-09T08:07:00Z</dcterms:created>
  <dcterms:modified xsi:type="dcterms:W3CDTF">2021-03-22T00:55:00Z</dcterms:modified>
</cp:coreProperties>
</file>