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78E79" w14:textId="6AC19C49" w:rsidR="006853B2" w:rsidRPr="007D7D01" w:rsidRDefault="006853B2" w:rsidP="007D7D01">
      <w:pPr>
        <w:spacing w:beforeLines="50" w:before="156" w:line="480" w:lineRule="atLeast"/>
        <w:rPr>
          <w:rFonts w:ascii="宋体" w:eastAsia="宋体" w:hAnsi="宋体"/>
          <w:color w:val="000000" w:themeColor="text1"/>
          <w:sz w:val="24"/>
          <w:szCs w:val="24"/>
        </w:rPr>
      </w:pPr>
    </w:p>
    <w:p w14:paraId="0CAFC6FC" w14:textId="6C445E9E" w:rsidR="008D5C7D" w:rsidRDefault="00AB3988" w:rsidP="007D7D01">
      <w:pPr>
        <w:pStyle w:val="a3"/>
        <w:shd w:val="clear" w:color="auto" w:fill="FFFFFF"/>
        <w:spacing w:beforeLines="50" w:before="156" w:line="480" w:lineRule="atLeast"/>
        <w:ind w:firstLine="482"/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5</w:t>
      </w:r>
      <w:r w:rsidR="008D5C7D" w:rsidRPr="007D7D01">
        <w:rPr>
          <w:color w:val="000000" w:themeColor="text1"/>
          <w:sz w:val="44"/>
          <w:szCs w:val="44"/>
        </w:rPr>
        <w:t>.</w:t>
      </w:r>
      <w:r w:rsidR="00B11BAA">
        <w:rPr>
          <w:color w:val="000000" w:themeColor="text1"/>
          <w:sz w:val="44"/>
          <w:szCs w:val="44"/>
        </w:rPr>
        <w:t>1</w:t>
      </w:r>
      <w:r w:rsidR="009D255F">
        <w:rPr>
          <w:color w:val="000000" w:themeColor="text1"/>
          <w:sz w:val="44"/>
          <w:szCs w:val="44"/>
        </w:rPr>
        <w:t>.1</w:t>
      </w:r>
      <w:r w:rsidR="005037B6">
        <w:rPr>
          <w:color w:val="000000" w:themeColor="text1"/>
          <w:sz w:val="44"/>
          <w:szCs w:val="44"/>
        </w:rPr>
        <w:t xml:space="preserve">  </w:t>
      </w:r>
      <w:r w:rsidR="005577E0" w:rsidRPr="005577E0">
        <w:rPr>
          <w:rFonts w:hint="eastAsia"/>
          <w:color w:val="000000" w:themeColor="text1"/>
          <w:sz w:val="44"/>
          <w:szCs w:val="44"/>
        </w:rPr>
        <w:t>起征点</w:t>
      </w:r>
    </w:p>
    <w:p w14:paraId="7F53D112" w14:textId="77777777" w:rsidR="00755EB9" w:rsidRPr="00755EB9" w:rsidRDefault="00755EB9" w:rsidP="00755EB9">
      <w:pPr>
        <w:pStyle w:val="a3"/>
        <w:shd w:val="clear" w:color="auto" w:fill="FFFFFF"/>
        <w:spacing w:beforeLines="50" w:before="156" w:line="480" w:lineRule="atLeast"/>
        <w:ind w:firstLine="482"/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1FA5F0CF" w14:textId="671B8CCB" w:rsidR="00755EB9" w:rsidRPr="00755EB9" w:rsidRDefault="00755EB9" w:rsidP="00755EB9">
      <w:pPr>
        <w:pStyle w:val="2"/>
        <w:spacing w:before="50" w:after="0" w:line="480" w:lineRule="atLeast"/>
        <w:rPr>
          <w:rFonts w:asciiTheme="minorEastAsia" w:eastAsiaTheme="minorEastAsia" w:hAnsiTheme="minorEastAsia"/>
          <w:sz w:val="24"/>
          <w:szCs w:val="24"/>
        </w:rPr>
      </w:pPr>
      <w:bookmarkStart w:id="0" w:name="_Toc12893976"/>
      <w:r w:rsidRPr="00755EB9">
        <w:rPr>
          <w:rFonts w:asciiTheme="minorEastAsia" w:eastAsiaTheme="minorEastAsia" w:hAnsiTheme="minorEastAsia" w:hint="eastAsia"/>
          <w:sz w:val="24"/>
          <w:szCs w:val="24"/>
        </w:rPr>
        <w:t>（一）适用范围</w:t>
      </w:r>
      <w:bookmarkEnd w:id="0"/>
    </w:p>
    <w:p w14:paraId="3C1401C7" w14:textId="77777777" w:rsidR="00755EB9" w:rsidRPr="00755EB9" w:rsidRDefault="00755EB9" w:rsidP="00755EB9">
      <w:pPr>
        <w:spacing w:beforeLines="50" w:before="156" w:line="48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755EB9">
        <w:rPr>
          <w:rFonts w:asciiTheme="minorEastAsia" w:hAnsiTheme="minorEastAsia" w:hint="eastAsia"/>
          <w:sz w:val="24"/>
          <w:szCs w:val="24"/>
        </w:rPr>
        <w:t>增值税起征点的适用范围限于个人。</w:t>
      </w:r>
    </w:p>
    <w:p w14:paraId="6694FB31" w14:textId="77777777" w:rsidR="00755EB9" w:rsidRPr="00755EB9" w:rsidRDefault="00755EB9" w:rsidP="00755EB9">
      <w:pPr>
        <w:spacing w:beforeLines="50" w:before="156" w:line="480" w:lineRule="atLeast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bookmarkStart w:id="1" w:name="_Hlk7853673"/>
      <w:r w:rsidRPr="00755EB9">
        <w:rPr>
          <w:rFonts w:asciiTheme="minorEastAsia" w:hAnsiTheme="minorEastAsia" w:hint="eastAsia"/>
          <w:bCs/>
          <w:color w:val="0070C0"/>
          <w:sz w:val="24"/>
          <w:szCs w:val="24"/>
        </w:rPr>
        <w:t>（</w:t>
      </w:r>
      <w:hyperlink r:id="rId7" w:history="1">
        <w:r w:rsidRPr="00755EB9">
          <w:rPr>
            <w:rStyle w:val="a4"/>
            <w:rFonts w:asciiTheme="minorEastAsia" w:hAnsiTheme="minorEastAsia"/>
            <w:bCs/>
            <w:sz w:val="24"/>
            <w:szCs w:val="24"/>
          </w:rPr>
          <w:t>财政部令第65号</w:t>
        </w:r>
      </w:hyperlink>
      <w:r w:rsidRPr="00755EB9">
        <w:rPr>
          <w:rFonts w:asciiTheme="minorEastAsia" w:hAnsiTheme="minorEastAsia" w:hint="eastAsia"/>
          <w:bCs/>
          <w:color w:val="0070C0"/>
          <w:sz w:val="24"/>
          <w:szCs w:val="24"/>
        </w:rPr>
        <w:t>第三十七条第一款）</w:t>
      </w:r>
      <w:bookmarkEnd w:id="1"/>
    </w:p>
    <w:p w14:paraId="7C758713" w14:textId="77777777" w:rsidR="00755EB9" w:rsidRPr="00755EB9" w:rsidRDefault="00755EB9" w:rsidP="00755EB9">
      <w:pPr>
        <w:widowControl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55EB9">
        <w:rPr>
          <w:rFonts w:asciiTheme="minorEastAsia" w:hAnsiTheme="minorEastAsia" w:cs="宋体"/>
          <w:color w:val="333333"/>
          <w:kern w:val="0"/>
          <w:sz w:val="24"/>
          <w:szCs w:val="24"/>
        </w:rPr>
        <w:t>增值税起征点不适用</w:t>
      </w:r>
      <w:proofErr w:type="gramStart"/>
      <w:r w:rsidRPr="00755EB9">
        <w:rPr>
          <w:rFonts w:asciiTheme="minorEastAsia" w:hAnsiTheme="minorEastAsia" w:cs="宋体"/>
          <w:color w:val="333333"/>
          <w:kern w:val="0"/>
          <w:sz w:val="24"/>
          <w:szCs w:val="24"/>
        </w:rPr>
        <w:t>于登记</w:t>
      </w:r>
      <w:proofErr w:type="gramEnd"/>
      <w:r w:rsidRPr="00755EB9">
        <w:rPr>
          <w:rFonts w:asciiTheme="minorEastAsia" w:hAnsiTheme="minorEastAsia" w:cs="宋体"/>
          <w:color w:val="333333"/>
          <w:kern w:val="0"/>
          <w:sz w:val="24"/>
          <w:szCs w:val="24"/>
        </w:rPr>
        <w:t>为一般纳税人的个体工商户。</w:t>
      </w:r>
    </w:p>
    <w:p w14:paraId="43CBE2E8" w14:textId="2A61953A" w:rsidR="00755EB9" w:rsidRPr="00755EB9" w:rsidRDefault="00755EB9" w:rsidP="00755EB9">
      <w:pPr>
        <w:widowControl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55E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</w:t>
      </w:r>
      <w:hyperlink r:id="rId8" w:history="1">
        <w:r w:rsidR="005B7BC2">
          <w:rPr>
            <w:rStyle w:val="a4"/>
            <w:rFonts w:ascii="宋体" w:eastAsia="宋体" w:hAnsi="宋体" w:cs="宋体" w:hint="eastAsia"/>
            <w:kern w:val="0"/>
            <w:sz w:val="24"/>
            <w:szCs w:val="24"/>
          </w:rPr>
          <w:t>财税[2016]36号附件1</w:t>
        </w:r>
      </w:hyperlink>
      <w:r w:rsidRPr="00755E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第四十九条第二款）</w:t>
      </w:r>
    </w:p>
    <w:p w14:paraId="7FCCB39F" w14:textId="0AFC9E22" w:rsidR="00755EB9" w:rsidRPr="00755EB9" w:rsidRDefault="00755EB9" w:rsidP="00755EB9">
      <w:pPr>
        <w:pStyle w:val="2"/>
        <w:spacing w:before="50" w:after="0" w:line="480" w:lineRule="atLeast"/>
        <w:rPr>
          <w:rFonts w:asciiTheme="minorEastAsia" w:eastAsiaTheme="minorEastAsia" w:hAnsiTheme="minorEastAsia"/>
          <w:sz w:val="24"/>
          <w:szCs w:val="24"/>
        </w:rPr>
      </w:pPr>
      <w:bookmarkStart w:id="2" w:name="_Toc12893977"/>
      <w:r w:rsidRPr="00755EB9">
        <w:rPr>
          <w:rFonts w:asciiTheme="minorEastAsia" w:eastAsiaTheme="minorEastAsia" w:hAnsiTheme="minorEastAsia" w:hint="eastAsia"/>
          <w:sz w:val="24"/>
          <w:szCs w:val="24"/>
        </w:rPr>
        <w:t>（二）起征点的幅度</w:t>
      </w:r>
      <w:bookmarkEnd w:id="2"/>
    </w:p>
    <w:p w14:paraId="6B13D6B1" w14:textId="1A90DF56" w:rsidR="00755EB9" w:rsidRPr="00755EB9" w:rsidRDefault="00755EB9" w:rsidP="00755EB9">
      <w:pPr>
        <w:pStyle w:val="3"/>
        <w:spacing w:before="50" w:after="0" w:line="480" w:lineRule="atLeast"/>
        <w:rPr>
          <w:rFonts w:asciiTheme="minorEastAsia" w:hAnsiTheme="minorEastAsia"/>
          <w:sz w:val="24"/>
          <w:szCs w:val="24"/>
        </w:rPr>
      </w:pPr>
      <w:r w:rsidRPr="00755EB9">
        <w:rPr>
          <w:rFonts w:asciiTheme="minorEastAsia" w:hAnsiTheme="minorEastAsia"/>
          <w:sz w:val="24"/>
          <w:szCs w:val="24"/>
        </w:rPr>
        <w:t>1</w:t>
      </w:r>
      <w:r w:rsidRPr="00755EB9">
        <w:rPr>
          <w:rFonts w:asciiTheme="minorEastAsia" w:hAnsiTheme="minorEastAsia" w:hint="eastAsia"/>
          <w:sz w:val="24"/>
          <w:szCs w:val="24"/>
        </w:rPr>
        <w:t>、</w:t>
      </w:r>
      <w:r w:rsidRPr="00755EB9">
        <w:rPr>
          <w:rFonts w:asciiTheme="minorEastAsia" w:hAnsiTheme="minorEastAsia"/>
          <w:sz w:val="24"/>
          <w:szCs w:val="24"/>
        </w:rPr>
        <w:t>按期纳税的</w:t>
      </w:r>
    </w:p>
    <w:p w14:paraId="73202EEC" w14:textId="77777777" w:rsidR="00755EB9" w:rsidRPr="00755EB9" w:rsidRDefault="00755EB9" w:rsidP="00755EB9">
      <w:pPr>
        <w:widowControl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55EB9">
        <w:rPr>
          <w:rFonts w:asciiTheme="minorEastAsia" w:hAnsiTheme="minorEastAsia" w:cs="宋体"/>
          <w:color w:val="333333"/>
          <w:kern w:val="0"/>
          <w:sz w:val="24"/>
          <w:szCs w:val="24"/>
        </w:rPr>
        <w:t>为月销售额5000-20000元(含本数)。</w:t>
      </w:r>
    </w:p>
    <w:p w14:paraId="34B4FFDB" w14:textId="1BF590E0" w:rsidR="00755EB9" w:rsidRPr="00755EB9" w:rsidRDefault="00755EB9" w:rsidP="00755EB9">
      <w:pPr>
        <w:widowControl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bookmarkStart w:id="3" w:name="_Hlk7728663"/>
      <w:r w:rsidRPr="00755E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</w:t>
      </w:r>
      <w:hyperlink r:id="rId9" w:history="1">
        <w:r w:rsidR="005B7BC2">
          <w:rPr>
            <w:rStyle w:val="a4"/>
            <w:rFonts w:ascii="宋体" w:eastAsia="宋体" w:hAnsi="宋体" w:cs="宋体" w:hint="eastAsia"/>
            <w:kern w:val="0"/>
            <w:sz w:val="24"/>
            <w:szCs w:val="24"/>
          </w:rPr>
          <w:t>财税[2016]36号附件1</w:t>
        </w:r>
      </w:hyperlink>
      <w:r w:rsidRPr="00755E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第五十条第一款第一项）</w:t>
      </w:r>
    </w:p>
    <w:bookmarkEnd w:id="3"/>
    <w:p w14:paraId="1EC85299" w14:textId="74BA7CB8" w:rsidR="00755EB9" w:rsidRPr="00755EB9" w:rsidRDefault="00755EB9" w:rsidP="00755EB9">
      <w:pPr>
        <w:pStyle w:val="3"/>
        <w:spacing w:before="50" w:after="0" w:line="480" w:lineRule="atLeast"/>
        <w:rPr>
          <w:rFonts w:asciiTheme="minorEastAsia" w:hAnsiTheme="minorEastAsia"/>
          <w:sz w:val="24"/>
          <w:szCs w:val="24"/>
        </w:rPr>
      </w:pPr>
      <w:r w:rsidRPr="00755EB9">
        <w:rPr>
          <w:rFonts w:asciiTheme="minorEastAsia" w:hAnsiTheme="minorEastAsia"/>
          <w:sz w:val="24"/>
          <w:szCs w:val="24"/>
        </w:rPr>
        <w:t>2</w:t>
      </w:r>
      <w:r w:rsidRPr="00755EB9">
        <w:rPr>
          <w:rFonts w:asciiTheme="minorEastAsia" w:hAnsiTheme="minorEastAsia" w:hint="eastAsia"/>
          <w:sz w:val="24"/>
          <w:szCs w:val="24"/>
        </w:rPr>
        <w:t>、</w:t>
      </w:r>
      <w:r w:rsidRPr="00755EB9">
        <w:rPr>
          <w:rFonts w:asciiTheme="minorEastAsia" w:hAnsiTheme="minorEastAsia"/>
          <w:sz w:val="24"/>
          <w:szCs w:val="24"/>
        </w:rPr>
        <w:t>按次纳税的</w:t>
      </w:r>
    </w:p>
    <w:p w14:paraId="0615697D" w14:textId="77777777" w:rsidR="00755EB9" w:rsidRPr="00755EB9" w:rsidRDefault="00755EB9" w:rsidP="00755EB9">
      <w:pPr>
        <w:widowControl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55EB9">
        <w:rPr>
          <w:rFonts w:asciiTheme="minorEastAsia" w:hAnsiTheme="minorEastAsia" w:cs="宋体"/>
          <w:color w:val="333333"/>
          <w:kern w:val="0"/>
          <w:sz w:val="24"/>
          <w:szCs w:val="24"/>
        </w:rPr>
        <w:t>为每次(日)销售额300-500元(含本数)。</w:t>
      </w:r>
    </w:p>
    <w:p w14:paraId="7E7C92D5" w14:textId="42857B48" w:rsidR="00755EB9" w:rsidRPr="00755EB9" w:rsidRDefault="00755EB9" w:rsidP="00755EB9">
      <w:pPr>
        <w:widowControl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55E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</w:t>
      </w:r>
      <w:hyperlink r:id="rId10" w:history="1">
        <w:r w:rsidR="005B7BC2">
          <w:rPr>
            <w:rStyle w:val="a4"/>
            <w:rFonts w:ascii="宋体" w:eastAsia="宋体" w:hAnsi="宋体" w:cs="宋体" w:hint="eastAsia"/>
            <w:kern w:val="0"/>
            <w:sz w:val="24"/>
            <w:szCs w:val="24"/>
          </w:rPr>
          <w:t>财税[2016]36号附件1</w:t>
        </w:r>
      </w:hyperlink>
      <w:r w:rsidRPr="00755E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第五十条第一款第二项）</w:t>
      </w:r>
    </w:p>
    <w:p w14:paraId="0C19FEF3" w14:textId="3F60C9A1" w:rsidR="00755EB9" w:rsidRPr="00755EB9" w:rsidRDefault="00755EB9" w:rsidP="00755EB9">
      <w:pPr>
        <w:pStyle w:val="3"/>
        <w:spacing w:before="50" w:after="0" w:line="480" w:lineRule="atLeast"/>
        <w:rPr>
          <w:rFonts w:asciiTheme="minorEastAsia" w:hAnsiTheme="minorEastAsia"/>
          <w:sz w:val="24"/>
          <w:szCs w:val="24"/>
        </w:rPr>
      </w:pPr>
      <w:r w:rsidRPr="00755EB9">
        <w:rPr>
          <w:rFonts w:asciiTheme="minorEastAsia" w:hAnsiTheme="minorEastAsia" w:hint="eastAsia"/>
          <w:sz w:val="24"/>
          <w:szCs w:val="24"/>
        </w:rPr>
        <w:t>附注1：销售额</w:t>
      </w:r>
    </w:p>
    <w:p w14:paraId="5C5676A2" w14:textId="77777777" w:rsidR="00755EB9" w:rsidRPr="00755EB9" w:rsidRDefault="00755EB9" w:rsidP="00755EB9">
      <w:pPr>
        <w:widowControl/>
        <w:spacing w:beforeLines="50" w:before="156" w:line="48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55E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前款所称销售额，</w:t>
      </w:r>
      <w:r w:rsidRPr="00755EB9">
        <w:rPr>
          <w:rFonts w:asciiTheme="minorEastAsia" w:hAnsiTheme="minorEastAsia" w:hint="eastAsia"/>
          <w:sz w:val="24"/>
          <w:szCs w:val="24"/>
        </w:rPr>
        <w:t>指本细则第三十条第一款所称小规模纳税人的销售额。</w:t>
      </w:r>
    </w:p>
    <w:p w14:paraId="7C121431" w14:textId="666EAB5F" w:rsidR="00755EB9" w:rsidRPr="00755EB9" w:rsidRDefault="00755EB9" w:rsidP="00755EB9">
      <w:pPr>
        <w:spacing w:beforeLines="50" w:before="156" w:line="480" w:lineRule="atLeast"/>
        <w:jc w:val="right"/>
        <w:rPr>
          <w:rFonts w:asciiTheme="minorEastAsia" w:hAnsiTheme="minorEastAsia"/>
          <w:bCs/>
          <w:color w:val="0070C0"/>
          <w:sz w:val="24"/>
          <w:szCs w:val="24"/>
        </w:rPr>
      </w:pPr>
      <w:r w:rsidRPr="00755EB9">
        <w:rPr>
          <w:rFonts w:asciiTheme="minorEastAsia" w:hAnsiTheme="minorEastAsia" w:hint="eastAsia"/>
          <w:bCs/>
          <w:color w:val="0070C0"/>
          <w:sz w:val="24"/>
          <w:szCs w:val="24"/>
        </w:rPr>
        <w:t>（</w:t>
      </w:r>
      <w:hyperlink r:id="rId11" w:history="1">
        <w:r w:rsidR="00B7431E">
          <w:rPr>
            <w:rStyle w:val="a4"/>
            <w:rFonts w:ascii="宋体" w:eastAsia="宋体" w:hAnsi="宋体" w:hint="eastAsia"/>
            <w:bCs/>
            <w:kern w:val="0"/>
            <w:sz w:val="24"/>
            <w:szCs w:val="24"/>
          </w:rPr>
          <w:t>《增值税暂行条例实施细则》</w:t>
        </w:r>
      </w:hyperlink>
      <w:r w:rsidRPr="00755EB9">
        <w:rPr>
          <w:rFonts w:asciiTheme="minorEastAsia" w:hAnsiTheme="minorEastAsia" w:hint="eastAsia"/>
          <w:bCs/>
          <w:color w:val="0070C0"/>
          <w:sz w:val="24"/>
          <w:szCs w:val="24"/>
        </w:rPr>
        <w:t>第三十七条第三款）</w:t>
      </w:r>
    </w:p>
    <w:p w14:paraId="5C9D98DB" w14:textId="20CB04ED" w:rsidR="00755EB9" w:rsidRPr="00755EB9" w:rsidRDefault="00755EB9" w:rsidP="00755EB9">
      <w:pPr>
        <w:pStyle w:val="3"/>
        <w:spacing w:before="50" w:after="0" w:line="480" w:lineRule="atLeast"/>
        <w:rPr>
          <w:rFonts w:asciiTheme="minorEastAsia" w:hAnsiTheme="minorEastAsia"/>
          <w:sz w:val="24"/>
          <w:szCs w:val="24"/>
        </w:rPr>
      </w:pPr>
      <w:r w:rsidRPr="00755EB9">
        <w:rPr>
          <w:rFonts w:asciiTheme="minorEastAsia" w:hAnsiTheme="minorEastAsia" w:hint="eastAsia"/>
          <w:sz w:val="24"/>
          <w:szCs w:val="24"/>
        </w:rPr>
        <w:t>附注2：</w:t>
      </w:r>
      <w:r w:rsidRPr="00755EB9">
        <w:rPr>
          <w:rFonts w:asciiTheme="minorEastAsia" w:hAnsiTheme="minorEastAsia"/>
          <w:sz w:val="24"/>
          <w:szCs w:val="24"/>
        </w:rPr>
        <w:t>起征点的调整</w:t>
      </w:r>
    </w:p>
    <w:p w14:paraId="24FDE98B" w14:textId="77777777" w:rsidR="00755EB9" w:rsidRPr="00755EB9" w:rsidRDefault="00755EB9" w:rsidP="00755EB9">
      <w:pPr>
        <w:widowControl/>
        <w:spacing w:beforeLines="50" w:before="156" w:line="480" w:lineRule="atLeast"/>
        <w:ind w:firstLineChars="200" w:firstLine="480"/>
        <w:jc w:val="left"/>
        <w:rPr>
          <w:rFonts w:asciiTheme="minorEastAsia" w:hAnsiTheme="minorEastAsia"/>
          <w:color w:val="333333"/>
          <w:sz w:val="24"/>
          <w:szCs w:val="24"/>
        </w:rPr>
      </w:pPr>
      <w:r w:rsidRPr="00755EB9">
        <w:rPr>
          <w:rFonts w:asciiTheme="minorEastAsia" w:hAnsiTheme="minorEastAsia"/>
          <w:color w:val="333333"/>
          <w:sz w:val="24"/>
          <w:szCs w:val="24"/>
        </w:rPr>
        <w:t>由财政部和国家税务总局规定。省、自治区、直辖市财政厅(局)和国家税务局应当在规定的幅度内，根据实际情况确定本地区适用的起征点，并报财政部和国家税务总局备案。</w:t>
      </w:r>
    </w:p>
    <w:p w14:paraId="3BF5471F" w14:textId="08C3B854" w:rsidR="00755EB9" w:rsidRPr="00755EB9" w:rsidRDefault="00755EB9" w:rsidP="00755EB9">
      <w:pPr>
        <w:widowControl/>
        <w:spacing w:beforeLines="50" w:before="156" w:line="480" w:lineRule="atLeast"/>
        <w:ind w:firstLineChars="200" w:firstLine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bookmarkStart w:id="4" w:name="_Hlk7728693"/>
      <w:r w:rsidRPr="00755E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</w:t>
      </w:r>
      <w:hyperlink r:id="rId12" w:history="1">
        <w:r w:rsidR="005B7BC2">
          <w:rPr>
            <w:rStyle w:val="a4"/>
            <w:rFonts w:ascii="宋体" w:eastAsia="宋体" w:hAnsi="宋体" w:cs="宋体" w:hint="eastAsia"/>
            <w:kern w:val="0"/>
            <w:sz w:val="24"/>
            <w:szCs w:val="24"/>
          </w:rPr>
          <w:t>财税[2016]36号附件1</w:t>
        </w:r>
      </w:hyperlink>
      <w:r w:rsidRPr="00755E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第五十条第二款）</w:t>
      </w:r>
      <w:bookmarkEnd w:id="4"/>
    </w:p>
    <w:p w14:paraId="4BB650FE" w14:textId="2A234CB3" w:rsidR="00755EB9" w:rsidRPr="00755EB9" w:rsidRDefault="00755EB9" w:rsidP="00755EB9">
      <w:pPr>
        <w:pStyle w:val="2"/>
        <w:spacing w:before="50" w:after="0" w:line="480" w:lineRule="atLeast"/>
        <w:rPr>
          <w:rFonts w:asciiTheme="minorEastAsia" w:eastAsiaTheme="minorEastAsia" w:hAnsiTheme="minorEastAsia"/>
          <w:sz w:val="24"/>
          <w:szCs w:val="24"/>
        </w:rPr>
      </w:pPr>
      <w:bookmarkStart w:id="5" w:name="_Toc12893978"/>
      <w:r w:rsidRPr="00755EB9">
        <w:rPr>
          <w:rFonts w:asciiTheme="minorEastAsia" w:eastAsiaTheme="minorEastAsia" w:hAnsiTheme="minorEastAsia" w:hint="eastAsia"/>
          <w:sz w:val="24"/>
          <w:szCs w:val="24"/>
        </w:rPr>
        <w:lastRenderedPageBreak/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三</w:t>
      </w:r>
      <w:r w:rsidRPr="00755EB9">
        <w:rPr>
          <w:rFonts w:asciiTheme="minorEastAsia" w:eastAsiaTheme="minorEastAsia" w:hAnsiTheme="minorEastAsia" w:hint="eastAsia"/>
          <w:sz w:val="24"/>
          <w:szCs w:val="24"/>
        </w:rPr>
        <w:t>）达到起征点的处理</w:t>
      </w:r>
      <w:bookmarkEnd w:id="5"/>
    </w:p>
    <w:p w14:paraId="2C4E0D38" w14:textId="77777777" w:rsidR="00755EB9" w:rsidRPr="00755EB9" w:rsidRDefault="00755EB9" w:rsidP="00755EB9">
      <w:pPr>
        <w:widowControl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55EB9">
        <w:rPr>
          <w:rFonts w:asciiTheme="minorEastAsia" w:hAnsiTheme="minorEastAsia" w:cs="宋体"/>
          <w:color w:val="333333"/>
          <w:kern w:val="0"/>
          <w:sz w:val="24"/>
          <w:szCs w:val="24"/>
        </w:rPr>
        <w:t>个人发生应税行为的销售额未达到增值税起征点的，免征增值税;达到起征点的，全额计算缴纳增值税。</w:t>
      </w:r>
    </w:p>
    <w:p w14:paraId="495DFB3B" w14:textId="693D32C3" w:rsidR="00755EB9" w:rsidRPr="00755EB9" w:rsidRDefault="00755EB9" w:rsidP="00755EB9">
      <w:pPr>
        <w:widowControl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55E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</w:t>
      </w:r>
      <w:hyperlink r:id="rId13" w:history="1">
        <w:r w:rsidR="005B7BC2">
          <w:rPr>
            <w:rStyle w:val="a4"/>
            <w:rFonts w:ascii="宋体" w:eastAsia="宋体" w:hAnsi="宋体" w:cs="宋体" w:hint="eastAsia"/>
            <w:kern w:val="0"/>
            <w:sz w:val="24"/>
            <w:szCs w:val="24"/>
          </w:rPr>
          <w:t>财税[2016]36号附件1</w:t>
        </w:r>
      </w:hyperlink>
      <w:r w:rsidRPr="00755E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第四十九条第一款）</w:t>
      </w:r>
    </w:p>
    <w:p w14:paraId="7AAD957F" w14:textId="77777777" w:rsidR="00755EB9" w:rsidRPr="00755EB9" w:rsidRDefault="00755EB9" w:rsidP="00755EB9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sectPr w:rsidR="00755EB9" w:rsidRPr="00755EB9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BA696" w14:textId="77777777" w:rsidR="004D31F5" w:rsidRDefault="004D31F5" w:rsidP="008A4976">
      <w:r>
        <w:separator/>
      </w:r>
    </w:p>
  </w:endnote>
  <w:endnote w:type="continuationSeparator" w:id="0">
    <w:p w14:paraId="264B2C7F" w14:textId="77777777" w:rsidR="004D31F5" w:rsidRDefault="004D31F5" w:rsidP="008A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32207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50C3D5" w14:textId="71B7D05E" w:rsidR="00E9063E" w:rsidRDefault="00E9063E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31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31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BCFAC8" w14:textId="77777777" w:rsidR="00E9063E" w:rsidRDefault="00E906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D9ED0" w14:textId="77777777" w:rsidR="004D31F5" w:rsidRDefault="004D31F5" w:rsidP="008A4976">
      <w:r>
        <w:separator/>
      </w:r>
    </w:p>
  </w:footnote>
  <w:footnote w:type="continuationSeparator" w:id="0">
    <w:p w14:paraId="0E522553" w14:textId="77777777" w:rsidR="004D31F5" w:rsidRDefault="004D31F5" w:rsidP="008A4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4C"/>
    <w:rsid w:val="00014CD4"/>
    <w:rsid w:val="00017FC7"/>
    <w:rsid w:val="0004598D"/>
    <w:rsid w:val="000677D9"/>
    <w:rsid w:val="00094874"/>
    <w:rsid w:val="000A64D6"/>
    <w:rsid w:val="000C39CC"/>
    <w:rsid w:val="001006DF"/>
    <w:rsid w:val="001155BA"/>
    <w:rsid w:val="00121E60"/>
    <w:rsid w:val="001308B0"/>
    <w:rsid w:val="0013157C"/>
    <w:rsid w:val="00132002"/>
    <w:rsid w:val="00150208"/>
    <w:rsid w:val="00156542"/>
    <w:rsid w:val="00160A63"/>
    <w:rsid w:val="0017199C"/>
    <w:rsid w:val="001728BF"/>
    <w:rsid w:val="00176747"/>
    <w:rsid w:val="00184243"/>
    <w:rsid w:val="00191751"/>
    <w:rsid w:val="001C03AC"/>
    <w:rsid w:val="001F68DD"/>
    <w:rsid w:val="002117B6"/>
    <w:rsid w:val="002149B9"/>
    <w:rsid w:val="00223407"/>
    <w:rsid w:val="002362EB"/>
    <w:rsid w:val="0024099E"/>
    <w:rsid w:val="0025647B"/>
    <w:rsid w:val="0026184E"/>
    <w:rsid w:val="002872DB"/>
    <w:rsid w:val="002A1609"/>
    <w:rsid w:val="002A4F9A"/>
    <w:rsid w:val="002C12B7"/>
    <w:rsid w:val="002D044F"/>
    <w:rsid w:val="002D2FBC"/>
    <w:rsid w:val="002E6A5E"/>
    <w:rsid w:val="002E7F9B"/>
    <w:rsid w:val="003035DC"/>
    <w:rsid w:val="00305697"/>
    <w:rsid w:val="00312EA9"/>
    <w:rsid w:val="00321CBA"/>
    <w:rsid w:val="00322677"/>
    <w:rsid w:val="00333946"/>
    <w:rsid w:val="00345449"/>
    <w:rsid w:val="00372C73"/>
    <w:rsid w:val="003A1160"/>
    <w:rsid w:val="003C497B"/>
    <w:rsid w:val="003C7F2C"/>
    <w:rsid w:val="00401CBE"/>
    <w:rsid w:val="00406804"/>
    <w:rsid w:val="00420292"/>
    <w:rsid w:val="0046344C"/>
    <w:rsid w:val="004B74E4"/>
    <w:rsid w:val="004B7B26"/>
    <w:rsid w:val="004D1584"/>
    <w:rsid w:val="004D31F5"/>
    <w:rsid w:val="004E4CC6"/>
    <w:rsid w:val="004E5998"/>
    <w:rsid w:val="005037B6"/>
    <w:rsid w:val="00524360"/>
    <w:rsid w:val="00542FA5"/>
    <w:rsid w:val="0054631F"/>
    <w:rsid w:val="005577E0"/>
    <w:rsid w:val="0056010D"/>
    <w:rsid w:val="00562B63"/>
    <w:rsid w:val="005824F0"/>
    <w:rsid w:val="00586D71"/>
    <w:rsid w:val="005B706B"/>
    <w:rsid w:val="005B7BC2"/>
    <w:rsid w:val="005F36A9"/>
    <w:rsid w:val="00605259"/>
    <w:rsid w:val="006527E3"/>
    <w:rsid w:val="006537F7"/>
    <w:rsid w:val="00662320"/>
    <w:rsid w:val="00666C2A"/>
    <w:rsid w:val="00681677"/>
    <w:rsid w:val="00682B3C"/>
    <w:rsid w:val="006853B2"/>
    <w:rsid w:val="006A1C66"/>
    <w:rsid w:val="006B0E2E"/>
    <w:rsid w:val="006D1B38"/>
    <w:rsid w:val="006D1D39"/>
    <w:rsid w:val="006E0E4C"/>
    <w:rsid w:val="006E2A6B"/>
    <w:rsid w:val="006E3A91"/>
    <w:rsid w:val="006F1D1C"/>
    <w:rsid w:val="006F491F"/>
    <w:rsid w:val="006F4E16"/>
    <w:rsid w:val="007007C7"/>
    <w:rsid w:val="00703816"/>
    <w:rsid w:val="007052BC"/>
    <w:rsid w:val="007170AA"/>
    <w:rsid w:val="007403B4"/>
    <w:rsid w:val="00755EB9"/>
    <w:rsid w:val="00756F33"/>
    <w:rsid w:val="007A62B5"/>
    <w:rsid w:val="007B5A0A"/>
    <w:rsid w:val="007D7D01"/>
    <w:rsid w:val="007E13F0"/>
    <w:rsid w:val="007F66B9"/>
    <w:rsid w:val="0080484F"/>
    <w:rsid w:val="0081395D"/>
    <w:rsid w:val="00821857"/>
    <w:rsid w:val="00823209"/>
    <w:rsid w:val="00827268"/>
    <w:rsid w:val="008425F3"/>
    <w:rsid w:val="008664CB"/>
    <w:rsid w:val="0088139C"/>
    <w:rsid w:val="008A4976"/>
    <w:rsid w:val="008C4243"/>
    <w:rsid w:val="008D5C7D"/>
    <w:rsid w:val="008E61BB"/>
    <w:rsid w:val="008F47BC"/>
    <w:rsid w:val="008F7B13"/>
    <w:rsid w:val="00923C53"/>
    <w:rsid w:val="009308B6"/>
    <w:rsid w:val="0099041D"/>
    <w:rsid w:val="009A0FE2"/>
    <w:rsid w:val="009B19FF"/>
    <w:rsid w:val="009D255F"/>
    <w:rsid w:val="009D726B"/>
    <w:rsid w:val="009F496B"/>
    <w:rsid w:val="00A05895"/>
    <w:rsid w:val="00A13986"/>
    <w:rsid w:val="00A5457D"/>
    <w:rsid w:val="00A61B18"/>
    <w:rsid w:val="00A763A8"/>
    <w:rsid w:val="00A82E11"/>
    <w:rsid w:val="00A9033C"/>
    <w:rsid w:val="00AB1298"/>
    <w:rsid w:val="00AB3988"/>
    <w:rsid w:val="00AC64DC"/>
    <w:rsid w:val="00AD1874"/>
    <w:rsid w:val="00AE18C8"/>
    <w:rsid w:val="00AE2264"/>
    <w:rsid w:val="00AE4E06"/>
    <w:rsid w:val="00AE598B"/>
    <w:rsid w:val="00B01699"/>
    <w:rsid w:val="00B03F68"/>
    <w:rsid w:val="00B10769"/>
    <w:rsid w:val="00B10E3F"/>
    <w:rsid w:val="00B11BAA"/>
    <w:rsid w:val="00B46CAC"/>
    <w:rsid w:val="00B66DA5"/>
    <w:rsid w:val="00B73878"/>
    <w:rsid w:val="00B7431E"/>
    <w:rsid w:val="00B86D93"/>
    <w:rsid w:val="00B92645"/>
    <w:rsid w:val="00BB3FF5"/>
    <w:rsid w:val="00BD6687"/>
    <w:rsid w:val="00BF394F"/>
    <w:rsid w:val="00C03867"/>
    <w:rsid w:val="00C20B05"/>
    <w:rsid w:val="00C33B7D"/>
    <w:rsid w:val="00C407EB"/>
    <w:rsid w:val="00C457C7"/>
    <w:rsid w:val="00C617D7"/>
    <w:rsid w:val="00C8306C"/>
    <w:rsid w:val="00C833E3"/>
    <w:rsid w:val="00C93749"/>
    <w:rsid w:val="00CA0606"/>
    <w:rsid w:val="00CA532D"/>
    <w:rsid w:val="00CB0DBB"/>
    <w:rsid w:val="00CB7350"/>
    <w:rsid w:val="00CC2C29"/>
    <w:rsid w:val="00CE6AC2"/>
    <w:rsid w:val="00CF09F4"/>
    <w:rsid w:val="00CF0F9A"/>
    <w:rsid w:val="00CF38AB"/>
    <w:rsid w:val="00CF3D86"/>
    <w:rsid w:val="00D243FC"/>
    <w:rsid w:val="00D35F24"/>
    <w:rsid w:val="00D75780"/>
    <w:rsid w:val="00DA10B7"/>
    <w:rsid w:val="00DB2732"/>
    <w:rsid w:val="00DE72F6"/>
    <w:rsid w:val="00E44042"/>
    <w:rsid w:val="00E470EA"/>
    <w:rsid w:val="00E477C0"/>
    <w:rsid w:val="00E616F1"/>
    <w:rsid w:val="00E65D3C"/>
    <w:rsid w:val="00E663A9"/>
    <w:rsid w:val="00E73BCF"/>
    <w:rsid w:val="00E9063E"/>
    <w:rsid w:val="00EB605B"/>
    <w:rsid w:val="00ED0DC9"/>
    <w:rsid w:val="00ED50A8"/>
    <w:rsid w:val="00F15F80"/>
    <w:rsid w:val="00F165D2"/>
    <w:rsid w:val="00F30237"/>
    <w:rsid w:val="00F47016"/>
    <w:rsid w:val="00F57C18"/>
    <w:rsid w:val="00F7410F"/>
    <w:rsid w:val="00F945C0"/>
    <w:rsid w:val="00FA2F5B"/>
    <w:rsid w:val="00FA7DCA"/>
    <w:rsid w:val="00FB6703"/>
    <w:rsid w:val="00FB6999"/>
    <w:rsid w:val="00FC0FA7"/>
    <w:rsid w:val="00FC5A25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375EF"/>
  <w15:docId w15:val="{F961973F-F09F-4BED-9F5A-F0ADFE66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3B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D5C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E7F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853B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853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2340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F1D1C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54631F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6853B2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6853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6853B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853B2"/>
    <w:rPr>
      <w:color w:val="0000FF"/>
      <w:u w:val="single"/>
    </w:rPr>
  </w:style>
  <w:style w:type="character" w:customStyle="1" w:styleId="10">
    <w:name w:val="标题 1 字符"/>
    <w:basedOn w:val="a0"/>
    <w:link w:val="1"/>
    <w:rsid w:val="008D5C7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E7F9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A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497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4976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223407"/>
    <w:rPr>
      <w:b/>
      <w:bCs/>
      <w:sz w:val="28"/>
      <w:szCs w:val="28"/>
    </w:rPr>
  </w:style>
  <w:style w:type="character" w:styleId="a9">
    <w:name w:val="Strong"/>
    <w:basedOn w:val="a0"/>
    <w:uiPriority w:val="22"/>
    <w:qFormat/>
    <w:rsid w:val="00E9063E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1308B0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rsid w:val="001308B0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1308B0"/>
    <w:rPr>
      <w:vertAlign w:val="superscript"/>
    </w:rPr>
  </w:style>
  <w:style w:type="character" w:customStyle="1" w:styleId="60">
    <w:name w:val="标题 6 字符"/>
    <w:basedOn w:val="a0"/>
    <w:link w:val="6"/>
    <w:uiPriority w:val="9"/>
    <w:rsid w:val="006F1D1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54631F"/>
    <w:rPr>
      <w:b/>
      <w:bCs/>
      <w:sz w:val="24"/>
      <w:szCs w:val="24"/>
    </w:rPr>
  </w:style>
  <w:style w:type="character" w:customStyle="1" w:styleId="yanse">
    <w:name w:val="yanse"/>
    <w:basedOn w:val="a0"/>
    <w:rsid w:val="002D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index/News/detail/newsid/7031.html" TargetMode="External"/><Relationship Id="rId13" Type="http://schemas.openxmlformats.org/officeDocument/2006/relationships/hyperlink" Target="http://ssfb86.com/index/News/detail/newsid/7031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23398;&#20064;\&#31246;&#25910;\&#31246;&#27861;&#22320;&#22270;\&#31246;&#25910;&#27861;&#35268;&#27719;&#32534;&#65288;&#25353;&#26085;&#26399;&#20998;&#31867;&#65289;\2011&#24180;\10&#26376;\&#36130;&#25919;&#37096;&#20196;&#31532;65&#21495;&#8212;&#8212;&#20851;&#20110;&#20462;&#25913;&#12298;&#20013;&#21326;&#20154;&#27665;&#20849;&#21644;&#22269;&#22686;&#20540;&#31246;&#26242;&#34892;&#26465;&#20363;&#23454;&#26045;&#32454;&#21017;&#12299;&#21644;&#12298;&#20013;&#21326;&#20154;&#27665;&#20849;&#21644;&#22269;&#33829;&#19994;&#31246;&#26242;&#34892;&#26465;&#20363;&#23454;&#26045;&#32454;&#21017;&#12299;&#30340;&#20915;&#23450;.docx" TargetMode="External"/><Relationship Id="rId12" Type="http://schemas.openxmlformats.org/officeDocument/2006/relationships/hyperlink" Target="http://ssfb86.com/index/News/detail/newsid/703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sfb86.com/index/News/detail/newsid/1680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sfb86.com/index/News/detail/newsid/70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fb86.com/index/News/detail/newsid/703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B1F55-3DA5-4C39-956D-268417D7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2021-03-31T14:11:00Z</dcterms:created>
  <dcterms:modified xsi:type="dcterms:W3CDTF">2021-03-31T14:11:00Z</dcterms:modified>
</cp:coreProperties>
</file>