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7E3366E5" w:rsidR="00F57C18" w:rsidRPr="00DE1E0F" w:rsidRDefault="00EC240C" w:rsidP="008D63C6">
      <w:pPr>
        <w:jc w:val="center"/>
        <w:rPr>
          <w:rFonts w:asciiTheme="minorEastAsia" w:hAnsiTheme="minorEastAsia"/>
          <w:b/>
          <w:color w:val="FF0000"/>
          <w:sz w:val="44"/>
          <w:szCs w:val="44"/>
        </w:rPr>
      </w:pPr>
      <w:r w:rsidRPr="00DE1E0F">
        <w:rPr>
          <w:rFonts w:asciiTheme="minorEastAsia" w:hAnsiTheme="minorEastAsia"/>
          <w:b/>
          <w:color w:val="FF0000"/>
          <w:sz w:val="44"/>
          <w:szCs w:val="44"/>
        </w:rPr>
        <w:t>4.4.4.1.1</w:t>
      </w:r>
      <w:r w:rsidR="008D63C6" w:rsidRPr="00DE1E0F">
        <w:rPr>
          <w:rFonts w:asciiTheme="minorEastAsia" w:hAnsiTheme="minorEastAsia"/>
          <w:b/>
          <w:color w:val="FF0000"/>
          <w:sz w:val="44"/>
          <w:szCs w:val="44"/>
        </w:rPr>
        <w:t xml:space="preserve">  </w:t>
      </w:r>
      <w:r w:rsidR="008C4732" w:rsidRPr="00DE1E0F">
        <w:rPr>
          <w:rFonts w:asciiTheme="minorEastAsia" w:hAnsiTheme="minorEastAsia" w:hint="eastAsia"/>
          <w:b/>
          <w:color w:val="FF0000"/>
          <w:sz w:val="44"/>
          <w:szCs w:val="44"/>
        </w:rPr>
        <w:t>资产计价的总体规定</w:t>
      </w:r>
    </w:p>
    <w:p w14:paraId="464582DA" w14:textId="1554B02C" w:rsidR="000E1550" w:rsidRDefault="000E1550" w:rsidP="000E1550">
      <w:pPr>
        <w:spacing w:beforeLines="50" w:before="156" w:line="480" w:lineRule="atLeast"/>
        <w:jc w:val="left"/>
        <w:rPr>
          <w:rFonts w:asciiTheme="minorEastAsia" w:hAnsiTheme="minorEastAsia"/>
          <w:b/>
          <w:bCs/>
          <w:kern w:val="44"/>
          <w:sz w:val="24"/>
          <w:szCs w:val="24"/>
        </w:rPr>
      </w:pPr>
      <w:bookmarkStart w:id="0" w:name="_GoBack"/>
    </w:p>
    <w:p w14:paraId="0378EF35" w14:textId="77777777" w:rsidR="008C4732" w:rsidRPr="008C4732" w:rsidRDefault="008C4732" w:rsidP="008C4732">
      <w:pPr>
        <w:pStyle w:val="1"/>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t>一、初始计量</w:t>
      </w:r>
    </w:p>
    <w:p w14:paraId="517D7183" w14:textId="77777777" w:rsidR="008C4732" w:rsidRPr="008C4732" w:rsidRDefault="008C4732" w:rsidP="008C4732">
      <w:pPr>
        <w:pStyle w:val="a5"/>
        <w:shd w:val="clear" w:color="auto" w:fill="FFFFFF"/>
        <w:spacing w:beforeLines="50" w:before="156" w:beforeAutospacing="0" w:after="0" w:afterAutospacing="0" w:line="480" w:lineRule="atLeast"/>
        <w:ind w:firstLineChars="200" w:firstLine="480"/>
        <w:rPr>
          <w:color w:val="000000" w:themeColor="text1"/>
        </w:rPr>
      </w:pPr>
      <w:r w:rsidRPr="008C4732">
        <w:rPr>
          <w:rFonts w:hint="eastAsia"/>
          <w:color w:val="000000" w:themeColor="text1"/>
        </w:rPr>
        <w:t>企业的各项资产，包括固定资产、生物资产、无形资产、长期待摊费用、投资资产、存货等，以历史成本为计税基础。</w:t>
      </w:r>
    </w:p>
    <w:p w14:paraId="54787D57" w14:textId="519A0E46" w:rsidR="008C4732" w:rsidRPr="008C4732" w:rsidRDefault="008C4732" w:rsidP="008C4732">
      <w:pPr>
        <w:pStyle w:val="a5"/>
        <w:spacing w:beforeLines="50" w:before="156" w:beforeAutospacing="0" w:after="0" w:afterAutospacing="0" w:line="480" w:lineRule="atLeast"/>
        <w:ind w:firstLineChars="200" w:firstLine="480"/>
        <w:jc w:val="right"/>
        <w:rPr>
          <w:color w:val="000000" w:themeColor="text1"/>
        </w:rPr>
      </w:pPr>
      <w:bookmarkStart w:id="1" w:name="_Hlk1938747"/>
      <w:r w:rsidRPr="008C4732">
        <w:rPr>
          <w:rFonts w:hint="eastAsia"/>
          <w:color w:val="000000" w:themeColor="text1"/>
        </w:rPr>
        <w:t>（</w:t>
      </w:r>
      <w:r w:rsidR="00A922E3">
        <w:rPr>
          <w:rFonts w:asciiTheme="minorEastAsia" w:hAnsiTheme="minorEastAsia" w:hint="eastAsia"/>
          <w:color w:val="000000" w:themeColor="text1"/>
        </w:rPr>
        <w:t>《</w:t>
      </w:r>
      <w:hyperlink r:id="rId7" w:history="1">
        <w:r w:rsidR="00A922E3">
          <w:rPr>
            <w:rStyle w:val="a6"/>
            <w:rFonts w:asciiTheme="minorEastAsia" w:hAnsiTheme="minorEastAsia" w:hint="eastAsia"/>
          </w:rPr>
          <w:t>企业所得税法实施条例</w:t>
        </w:r>
      </w:hyperlink>
      <w:r w:rsidR="00A922E3">
        <w:rPr>
          <w:rFonts w:asciiTheme="minorEastAsia" w:hAnsiTheme="minorEastAsia" w:hint="eastAsia"/>
          <w:color w:val="000000" w:themeColor="text1"/>
        </w:rPr>
        <w:t>》</w:t>
      </w:r>
      <w:r w:rsidRPr="008C4732">
        <w:rPr>
          <w:rFonts w:hint="eastAsia"/>
          <w:color w:val="000000" w:themeColor="text1"/>
        </w:rPr>
        <w:t>第五十六条第一款）</w:t>
      </w:r>
    </w:p>
    <w:bookmarkEnd w:id="1"/>
    <w:p w14:paraId="2D6D48C6" w14:textId="77777777" w:rsidR="008C4732" w:rsidRPr="008C4732" w:rsidRDefault="008C4732" w:rsidP="008C4732">
      <w:pPr>
        <w:pStyle w:val="a5"/>
        <w:shd w:val="clear" w:color="auto" w:fill="FFFFFF"/>
        <w:spacing w:beforeLines="50" w:before="156" w:beforeAutospacing="0" w:after="0" w:afterAutospacing="0" w:line="480" w:lineRule="atLeast"/>
        <w:ind w:firstLineChars="200" w:firstLine="480"/>
        <w:rPr>
          <w:color w:val="000000" w:themeColor="text1"/>
        </w:rPr>
      </w:pPr>
      <w:r w:rsidRPr="008C4732">
        <w:rPr>
          <w:rFonts w:hint="eastAsia"/>
          <w:color w:val="000000" w:themeColor="text1"/>
        </w:rPr>
        <w:t>前款所称历史成本，是指企业取得该项资产时实际发生的支出。</w:t>
      </w:r>
    </w:p>
    <w:p w14:paraId="548DA96C" w14:textId="0B59ADDD" w:rsidR="008C4732" w:rsidRPr="008C4732" w:rsidRDefault="008C4732" w:rsidP="008C4732">
      <w:pPr>
        <w:pStyle w:val="a5"/>
        <w:spacing w:beforeLines="50" w:before="156" w:beforeAutospacing="0" w:after="0" w:afterAutospacing="0" w:line="480" w:lineRule="atLeast"/>
        <w:ind w:firstLineChars="200" w:firstLine="480"/>
        <w:jc w:val="right"/>
        <w:rPr>
          <w:color w:val="000000" w:themeColor="text1"/>
        </w:rPr>
      </w:pPr>
      <w:r w:rsidRPr="008C4732">
        <w:rPr>
          <w:rFonts w:hint="eastAsia"/>
          <w:color w:val="000000" w:themeColor="text1"/>
        </w:rPr>
        <w:t>（</w:t>
      </w:r>
      <w:r w:rsidR="00A922E3">
        <w:rPr>
          <w:rFonts w:asciiTheme="minorEastAsia" w:hAnsiTheme="minorEastAsia" w:hint="eastAsia"/>
          <w:color w:val="000000" w:themeColor="text1"/>
        </w:rPr>
        <w:t>《</w:t>
      </w:r>
      <w:hyperlink r:id="rId8" w:history="1">
        <w:r w:rsidR="00A922E3">
          <w:rPr>
            <w:rStyle w:val="a6"/>
            <w:rFonts w:asciiTheme="minorEastAsia" w:hAnsiTheme="minorEastAsia" w:hint="eastAsia"/>
          </w:rPr>
          <w:t>企业所得税法实施条例</w:t>
        </w:r>
      </w:hyperlink>
      <w:r w:rsidR="00A922E3">
        <w:rPr>
          <w:rFonts w:asciiTheme="minorEastAsia" w:hAnsiTheme="minorEastAsia" w:hint="eastAsia"/>
          <w:color w:val="000000" w:themeColor="text1"/>
        </w:rPr>
        <w:t>》</w:t>
      </w:r>
      <w:r w:rsidRPr="008C4732">
        <w:rPr>
          <w:rFonts w:hint="eastAsia"/>
          <w:color w:val="000000" w:themeColor="text1"/>
        </w:rPr>
        <w:t>第五十六条第二款）</w:t>
      </w:r>
    </w:p>
    <w:p w14:paraId="134B3202" w14:textId="0862E04C" w:rsidR="008C4732" w:rsidRPr="008C4732" w:rsidRDefault="008C4732" w:rsidP="008C4732">
      <w:pPr>
        <w:pStyle w:val="2"/>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t xml:space="preserve">附注（一）：企业接收政府划入资产的企业所得税处理 </w:t>
      </w:r>
    </w:p>
    <w:p w14:paraId="46CA4241" w14:textId="2F52BFD1" w:rsidR="008C4732" w:rsidRPr="008C4732" w:rsidRDefault="008C4732" w:rsidP="008C4732">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8C4732">
        <w:rPr>
          <w:rFonts w:hint="eastAsia"/>
          <w:color w:val="000000" w:themeColor="text1"/>
        </w:rPr>
        <w:t>（</w:t>
      </w:r>
      <w:hyperlink r:id="rId9" w:history="1">
        <w:r w:rsidRPr="0076742F">
          <w:rPr>
            <w:rStyle w:val="a6"/>
            <w:rFonts w:hint="eastAsia"/>
          </w:rPr>
          <w:t>国家税务总局公告2014年第29号</w:t>
        </w:r>
      </w:hyperlink>
      <w:r w:rsidRPr="008C4732">
        <w:rPr>
          <w:rFonts w:hint="eastAsia"/>
          <w:color w:val="000000" w:themeColor="text1"/>
        </w:rPr>
        <w:t>第一条）</w:t>
      </w:r>
    </w:p>
    <w:p w14:paraId="585C950C" w14:textId="772590E7" w:rsidR="008C4732" w:rsidRPr="008C4732" w:rsidRDefault="008C4732" w:rsidP="008C4732">
      <w:pPr>
        <w:pStyle w:val="3"/>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t>1、县级以上人民政府（包括政府有关部门,下同）将国有资产明确以股权投资方式投入企业</w:t>
      </w:r>
    </w:p>
    <w:p w14:paraId="72CEDA9A" w14:textId="77777777" w:rsidR="008C4732" w:rsidRPr="008C4732" w:rsidRDefault="008C4732" w:rsidP="008C4732">
      <w:pPr>
        <w:pStyle w:val="a5"/>
        <w:shd w:val="clear" w:color="auto" w:fill="FFFFFF"/>
        <w:spacing w:beforeLines="50" w:before="156" w:beforeAutospacing="0" w:after="0" w:afterAutospacing="0" w:line="480" w:lineRule="atLeast"/>
        <w:ind w:firstLineChars="200" w:firstLine="480"/>
        <w:rPr>
          <w:rFonts w:cs="Arial"/>
          <w:color w:val="000000" w:themeColor="text1"/>
        </w:rPr>
      </w:pPr>
      <w:r w:rsidRPr="008C4732">
        <w:rPr>
          <w:rFonts w:cs="Arial" w:hint="eastAsia"/>
          <w:color w:val="000000" w:themeColor="text1"/>
        </w:rPr>
        <w:t>企业应作为国家资本金（包括资本公积）处理。该项资产如为非货币性资产，应按政府确定的接收价值确定计税基础。</w:t>
      </w:r>
    </w:p>
    <w:p w14:paraId="04A53FB5" w14:textId="766DB741" w:rsidR="008C4732" w:rsidRPr="008C4732" w:rsidRDefault="008C4732" w:rsidP="008C4732">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8C4732">
        <w:rPr>
          <w:rFonts w:hint="eastAsia"/>
          <w:color w:val="000000" w:themeColor="text1"/>
        </w:rPr>
        <w:t>（</w:t>
      </w:r>
      <w:hyperlink r:id="rId10" w:history="1">
        <w:r w:rsidR="0076742F" w:rsidRPr="0076742F">
          <w:rPr>
            <w:rStyle w:val="a6"/>
            <w:rFonts w:hint="eastAsia"/>
          </w:rPr>
          <w:t>国家税务总局公告2014年第29号</w:t>
        </w:r>
      </w:hyperlink>
      <w:r w:rsidRPr="008C4732">
        <w:rPr>
          <w:rFonts w:hint="eastAsia"/>
          <w:color w:val="000000" w:themeColor="text1"/>
        </w:rPr>
        <w:t>第一条第一款第一项）</w:t>
      </w:r>
    </w:p>
    <w:p w14:paraId="5289BCAC" w14:textId="7F0C1AEF" w:rsidR="008C4732" w:rsidRPr="008C4732" w:rsidRDefault="008C4732" w:rsidP="008C4732">
      <w:pPr>
        <w:pStyle w:val="3"/>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t>2、县级以上人民政府将国有资产无偿划入企业，凡指定专门用途并按</w:t>
      </w:r>
      <w:r w:rsidR="0076742F" w:rsidRPr="0076742F">
        <w:rPr>
          <w:rFonts w:hint="eastAsia"/>
          <w:b w:val="0"/>
          <w:bCs w:val="0"/>
          <w:color w:val="333333"/>
          <w:sz w:val="24"/>
          <w:szCs w:val="24"/>
          <w:shd w:val="clear" w:color="auto" w:fill="FFFFFF"/>
        </w:rPr>
        <w:t>《财政部国家税务总局关于专项用途财政性资金企业所得税处理问题的通知》（</w:t>
      </w:r>
      <w:hyperlink r:id="rId11" w:tgtFrame="_self" w:history="1">
        <w:r w:rsidR="0076742F" w:rsidRPr="0076742F">
          <w:rPr>
            <w:rFonts w:hint="eastAsia"/>
            <w:b w:val="0"/>
            <w:bCs w:val="0"/>
            <w:color w:val="6E6E6E"/>
            <w:sz w:val="24"/>
            <w:szCs w:val="24"/>
            <w:u w:val="single"/>
            <w:shd w:val="clear" w:color="auto" w:fill="FFFFFF"/>
          </w:rPr>
          <w:t>财税〔</w:t>
        </w:r>
        <w:r w:rsidR="0076742F" w:rsidRPr="0076742F">
          <w:rPr>
            <w:rFonts w:hint="eastAsia"/>
            <w:b w:val="0"/>
            <w:bCs w:val="0"/>
            <w:color w:val="6E6E6E"/>
            <w:sz w:val="24"/>
            <w:szCs w:val="24"/>
            <w:u w:val="single"/>
            <w:shd w:val="clear" w:color="auto" w:fill="FFFFFF"/>
          </w:rPr>
          <w:t>2011</w:t>
        </w:r>
        <w:r w:rsidR="0076742F" w:rsidRPr="0076742F">
          <w:rPr>
            <w:rFonts w:hint="eastAsia"/>
            <w:b w:val="0"/>
            <w:bCs w:val="0"/>
            <w:color w:val="6E6E6E"/>
            <w:sz w:val="24"/>
            <w:szCs w:val="24"/>
            <w:u w:val="single"/>
            <w:shd w:val="clear" w:color="auto" w:fill="FFFFFF"/>
          </w:rPr>
          <w:t>〕</w:t>
        </w:r>
        <w:r w:rsidR="0076742F" w:rsidRPr="0076742F">
          <w:rPr>
            <w:rFonts w:hint="eastAsia"/>
            <w:b w:val="0"/>
            <w:bCs w:val="0"/>
            <w:color w:val="6E6E6E"/>
            <w:sz w:val="24"/>
            <w:szCs w:val="24"/>
            <w:u w:val="single"/>
            <w:shd w:val="clear" w:color="auto" w:fill="FFFFFF"/>
          </w:rPr>
          <w:t>70</w:t>
        </w:r>
        <w:r w:rsidR="0076742F" w:rsidRPr="0076742F">
          <w:rPr>
            <w:rFonts w:hint="eastAsia"/>
            <w:b w:val="0"/>
            <w:bCs w:val="0"/>
            <w:color w:val="6E6E6E"/>
            <w:sz w:val="24"/>
            <w:szCs w:val="24"/>
            <w:u w:val="single"/>
            <w:shd w:val="clear" w:color="auto" w:fill="FFFFFF"/>
          </w:rPr>
          <w:t>号</w:t>
        </w:r>
      </w:hyperlink>
      <w:r w:rsidR="0076742F" w:rsidRPr="0076742F">
        <w:rPr>
          <w:rFonts w:hint="eastAsia"/>
          <w:b w:val="0"/>
          <w:bCs w:val="0"/>
          <w:color w:val="333333"/>
          <w:sz w:val="24"/>
          <w:szCs w:val="24"/>
          <w:shd w:val="clear" w:color="auto" w:fill="FFFFFF"/>
        </w:rPr>
        <w:t>）</w:t>
      </w:r>
      <w:r w:rsidRPr="008C4732">
        <w:rPr>
          <w:rFonts w:ascii="宋体" w:eastAsia="宋体" w:hAnsi="宋体" w:hint="eastAsia"/>
          <w:color w:val="000000" w:themeColor="text1"/>
          <w:sz w:val="24"/>
          <w:szCs w:val="24"/>
        </w:rPr>
        <w:t>规定进行管理的</w:t>
      </w:r>
    </w:p>
    <w:p w14:paraId="0917FBFD" w14:textId="77777777" w:rsidR="008C4732" w:rsidRPr="008C4732" w:rsidRDefault="008C4732" w:rsidP="008C4732">
      <w:pPr>
        <w:pStyle w:val="a5"/>
        <w:shd w:val="clear" w:color="auto" w:fill="FFFFFF"/>
        <w:spacing w:beforeLines="50" w:before="156" w:beforeAutospacing="0" w:after="0" w:afterAutospacing="0" w:line="480" w:lineRule="atLeast"/>
        <w:ind w:firstLineChars="200" w:firstLine="480"/>
        <w:rPr>
          <w:rFonts w:cs="Arial"/>
          <w:color w:val="000000" w:themeColor="text1"/>
        </w:rPr>
      </w:pPr>
      <w:r w:rsidRPr="008C4732">
        <w:rPr>
          <w:rFonts w:cs="Arial" w:hint="eastAsia"/>
          <w:color w:val="000000" w:themeColor="text1"/>
        </w:rPr>
        <w:t xml:space="preserve">企业可作为不征税收入进行企业所得税处理。其中，该项资产属于非货币性资产的，应按政府确定的接收价值计算不征税收入。 </w:t>
      </w:r>
    </w:p>
    <w:p w14:paraId="782AC2CB" w14:textId="55EAD09F" w:rsidR="008C4732" w:rsidRPr="008C4732" w:rsidRDefault="008C4732" w:rsidP="008C4732">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8C4732">
        <w:rPr>
          <w:rFonts w:hint="eastAsia"/>
          <w:color w:val="000000" w:themeColor="text1"/>
        </w:rPr>
        <w:t>（</w:t>
      </w:r>
      <w:hyperlink r:id="rId12" w:history="1">
        <w:r w:rsidR="0076742F" w:rsidRPr="0076742F">
          <w:rPr>
            <w:rStyle w:val="a6"/>
            <w:rFonts w:hint="eastAsia"/>
          </w:rPr>
          <w:t>国家税务总局公告2014年第29号</w:t>
        </w:r>
      </w:hyperlink>
      <w:r w:rsidRPr="008C4732">
        <w:rPr>
          <w:rFonts w:hint="eastAsia"/>
          <w:color w:val="000000" w:themeColor="text1"/>
        </w:rPr>
        <w:t>第一条第一款第二项）</w:t>
      </w:r>
    </w:p>
    <w:p w14:paraId="1B7FD431" w14:textId="41EDB405" w:rsidR="008C4732" w:rsidRPr="008C4732" w:rsidRDefault="008C4732" w:rsidP="008C4732">
      <w:pPr>
        <w:pStyle w:val="3"/>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lastRenderedPageBreak/>
        <w:t>3、县级以上人民政府将国有资产无偿划入企业，属于上述（一）、（二）项以外情形的</w:t>
      </w:r>
    </w:p>
    <w:p w14:paraId="11FC2BC1" w14:textId="77777777" w:rsidR="008C4732" w:rsidRPr="008C4732" w:rsidRDefault="008C4732" w:rsidP="008C4732">
      <w:pPr>
        <w:pStyle w:val="a5"/>
        <w:shd w:val="clear" w:color="auto" w:fill="FFFFFF"/>
        <w:spacing w:beforeLines="50" w:before="156" w:beforeAutospacing="0" w:after="0" w:afterAutospacing="0" w:line="480" w:lineRule="atLeast"/>
        <w:ind w:firstLineChars="200" w:firstLine="480"/>
        <w:rPr>
          <w:rFonts w:cs="Arial"/>
          <w:color w:val="000000" w:themeColor="text1"/>
        </w:rPr>
      </w:pPr>
      <w:r w:rsidRPr="008C4732">
        <w:rPr>
          <w:rFonts w:cs="Arial" w:hint="eastAsia"/>
          <w:color w:val="000000" w:themeColor="text1"/>
        </w:rPr>
        <w:t xml:space="preserve">应按政府确定的接收价值计入当期收入总额计算缴纳企业所得税。政府没有确定接收价值的，按资产的公允价值计算确定应税收入。 </w:t>
      </w:r>
    </w:p>
    <w:p w14:paraId="12273753" w14:textId="69AA199D" w:rsidR="008C4732" w:rsidRPr="008C4732" w:rsidRDefault="008C4732" w:rsidP="008C4732">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8C4732">
        <w:rPr>
          <w:rFonts w:hint="eastAsia"/>
          <w:color w:val="000000" w:themeColor="text1"/>
        </w:rPr>
        <w:t>（</w:t>
      </w:r>
      <w:hyperlink r:id="rId13" w:history="1">
        <w:r w:rsidR="0076742F" w:rsidRPr="0076742F">
          <w:rPr>
            <w:rStyle w:val="a6"/>
            <w:rFonts w:hint="eastAsia"/>
          </w:rPr>
          <w:t>国家税务总局公告2014年第29号</w:t>
        </w:r>
      </w:hyperlink>
      <w:r w:rsidRPr="008C4732">
        <w:rPr>
          <w:rFonts w:hint="eastAsia"/>
          <w:color w:val="000000" w:themeColor="text1"/>
        </w:rPr>
        <w:t>第一条第二款）</w:t>
      </w:r>
    </w:p>
    <w:p w14:paraId="05822513" w14:textId="32A45EB2" w:rsidR="008C4732" w:rsidRPr="008C4732" w:rsidRDefault="008C4732" w:rsidP="008C4732">
      <w:pPr>
        <w:pStyle w:val="2"/>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t xml:space="preserve">附注（二）：企业接收股东划入资产的企业所得税处理 </w:t>
      </w:r>
    </w:p>
    <w:p w14:paraId="6CD50D09" w14:textId="28AD732C" w:rsidR="008C4732" w:rsidRPr="008C4732" w:rsidRDefault="008C4732" w:rsidP="008C4732">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8C4732">
        <w:rPr>
          <w:rFonts w:hint="eastAsia"/>
          <w:color w:val="000000" w:themeColor="text1"/>
        </w:rPr>
        <w:t>（</w:t>
      </w:r>
      <w:hyperlink r:id="rId14" w:history="1">
        <w:r w:rsidR="0076742F" w:rsidRPr="0076742F">
          <w:rPr>
            <w:rStyle w:val="a6"/>
            <w:rFonts w:hint="eastAsia"/>
          </w:rPr>
          <w:t>国家税务总局公告2014年第29号</w:t>
        </w:r>
      </w:hyperlink>
      <w:r w:rsidRPr="008C4732">
        <w:rPr>
          <w:rFonts w:hint="eastAsia"/>
          <w:color w:val="000000" w:themeColor="text1"/>
        </w:rPr>
        <w:t>第二条）</w:t>
      </w:r>
    </w:p>
    <w:p w14:paraId="446208E2" w14:textId="790B69C5" w:rsidR="008C4732" w:rsidRPr="008C4732" w:rsidRDefault="008C4732" w:rsidP="008C4732">
      <w:pPr>
        <w:pStyle w:val="3"/>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t>1、企业接收股东划入资产（包括股东赠予资产、上市公司在股权分置改革过程中接收原非流通股股东和新非流通股股东赠予的资产、股东放弃本企业的股权，下同），凡合同、协议约定作为资本金（包括资本公积）且在会计上已做实际处理的</w:t>
      </w:r>
    </w:p>
    <w:p w14:paraId="7FFB8E41" w14:textId="77777777" w:rsidR="008C4732" w:rsidRPr="008C4732" w:rsidRDefault="008C4732" w:rsidP="008C4732">
      <w:pPr>
        <w:pStyle w:val="a5"/>
        <w:shd w:val="clear" w:color="auto" w:fill="FFFFFF"/>
        <w:spacing w:beforeLines="50" w:before="156" w:beforeAutospacing="0" w:after="0" w:afterAutospacing="0" w:line="480" w:lineRule="atLeast"/>
        <w:ind w:firstLineChars="200" w:firstLine="480"/>
        <w:rPr>
          <w:rFonts w:cs="Arial"/>
          <w:color w:val="000000" w:themeColor="text1"/>
        </w:rPr>
      </w:pPr>
      <w:r w:rsidRPr="008C4732">
        <w:rPr>
          <w:rFonts w:cs="Arial" w:hint="eastAsia"/>
          <w:color w:val="000000" w:themeColor="text1"/>
        </w:rPr>
        <w:t>不计入企业的收入总额，企业应按公允价值确定该项资产的计税基础。</w:t>
      </w:r>
    </w:p>
    <w:p w14:paraId="708D50BE" w14:textId="6E75D5B5" w:rsidR="008C4732" w:rsidRPr="008C4732" w:rsidRDefault="008C4732" w:rsidP="008C4732">
      <w:pPr>
        <w:pStyle w:val="a5"/>
        <w:shd w:val="clear" w:color="auto" w:fill="FFFFFF"/>
        <w:spacing w:beforeLines="50" w:before="156" w:beforeAutospacing="0" w:after="0" w:afterAutospacing="0" w:line="480" w:lineRule="atLeast"/>
        <w:ind w:firstLineChars="200" w:firstLine="480"/>
        <w:jc w:val="right"/>
        <w:rPr>
          <w:color w:val="000000" w:themeColor="text1"/>
        </w:rPr>
      </w:pPr>
      <w:r w:rsidRPr="008C4732">
        <w:rPr>
          <w:rFonts w:hint="eastAsia"/>
          <w:color w:val="000000" w:themeColor="text1"/>
        </w:rPr>
        <w:t>（</w:t>
      </w:r>
      <w:hyperlink r:id="rId15" w:history="1">
        <w:r w:rsidR="0076742F" w:rsidRPr="0076742F">
          <w:rPr>
            <w:rStyle w:val="a6"/>
            <w:rFonts w:hint="eastAsia"/>
          </w:rPr>
          <w:t>国家税务总局公告2014年第29号</w:t>
        </w:r>
      </w:hyperlink>
      <w:r w:rsidRPr="008C4732">
        <w:rPr>
          <w:rFonts w:hint="eastAsia"/>
          <w:color w:val="000000" w:themeColor="text1"/>
        </w:rPr>
        <w:t>第二条第一款）</w:t>
      </w:r>
    </w:p>
    <w:p w14:paraId="785F700C" w14:textId="4DBA0085" w:rsidR="008C4732" w:rsidRPr="008C4732" w:rsidRDefault="008C4732" w:rsidP="008C4732">
      <w:pPr>
        <w:pStyle w:val="3"/>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t>2、企业接收股东划入资产，凡作为收入处理的</w:t>
      </w:r>
    </w:p>
    <w:p w14:paraId="005A7346" w14:textId="77777777" w:rsidR="008C4732" w:rsidRPr="008C4732" w:rsidRDefault="008C4732" w:rsidP="008C4732">
      <w:pPr>
        <w:pStyle w:val="a5"/>
        <w:spacing w:beforeLines="50" w:before="156" w:beforeAutospacing="0" w:after="0" w:afterAutospacing="0" w:line="480" w:lineRule="atLeast"/>
        <w:ind w:firstLineChars="200" w:firstLine="480"/>
        <w:rPr>
          <w:color w:val="000000" w:themeColor="text1"/>
        </w:rPr>
      </w:pPr>
      <w:r w:rsidRPr="008C4732">
        <w:rPr>
          <w:rFonts w:cs="Arial" w:hint="eastAsia"/>
          <w:color w:val="000000" w:themeColor="text1"/>
        </w:rPr>
        <w:t>应按公允价值计入收入总额，计算缴纳企业所得税，同时按公允价值确定该项资产的计税基础。</w:t>
      </w:r>
    </w:p>
    <w:p w14:paraId="58438EA0" w14:textId="11F01F7F" w:rsidR="008C4732" w:rsidRDefault="008C4732" w:rsidP="008C4732">
      <w:pPr>
        <w:pStyle w:val="a5"/>
        <w:shd w:val="clear" w:color="auto" w:fill="FFFFFF"/>
        <w:spacing w:beforeLines="50" w:before="156" w:beforeAutospacing="0" w:after="0" w:afterAutospacing="0" w:line="480" w:lineRule="atLeast"/>
        <w:ind w:firstLineChars="200" w:firstLine="480"/>
        <w:jc w:val="right"/>
        <w:rPr>
          <w:rFonts w:hint="eastAsia"/>
          <w:color w:val="000000" w:themeColor="text1"/>
        </w:rPr>
      </w:pPr>
      <w:r w:rsidRPr="008C4732">
        <w:rPr>
          <w:rFonts w:hint="eastAsia"/>
          <w:color w:val="000000" w:themeColor="text1"/>
        </w:rPr>
        <w:t>（</w:t>
      </w:r>
      <w:hyperlink r:id="rId16" w:history="1">
        <w:r w:rsidR="0076742F" w:rsidRPr="0076742F">
          <w:rPr>
            <w:rStyle w:val="a6"/>
            <w:rFonts w:hint="eastAsia"/>
          </w:rPr>
          <w:t>国家税务总局公告2014年第29号</w:t>
        </w:r>
      </w:hyperlink>
      <w:r w:rsidRPr="008C4732">
        <w:rPr>
          <w:rFonts w:hint="eastAsia"/>
          <w:color w:val="000000" w:themeColor="text1"/>
        </w:rPr>
        <w:t>第二条第二款）</w:t>
      </w:r>
    </w:p>
    <w:p w14:paraId="00619219" w14:textId="0996A07B" w:rsidR="00DE1E0F" w:rsidRPr="00DE1E0F" w:rsidRDefault="00DE1E0F" w:rsidP="00DE1E0F">
      <w:pPr>
        <w:pStyle w:val="2"/>
        <w:spacing w:beforeLines="50" w:before="156" w:after="0" w:line="480" w:lineRule="atLeast"/>
        <w:rPr>
          <w:rFonts w:ascii="宋体" w:eastAsia="宋体" w:hAnsi="宋体" w:hint="eastAsia"/>
          <w:color w:val="000000" w:themeColor="text1"/>
          <w:sz w:val="24"/>
          <w:szCs w:val="24"/>
        </w:rPr>
      </w:pPr>
      <w:r w:rsidRPr="00DE1E0F">
        <w:rPr>
          <w:rFonts w:ascii="宋体" w:eastAsia="宋体" w:hAnsi="宋体" w:hint="eastAsia"/>
          <w:color w:val="000000" w:themeColor="text1"/>
          <w:sz w:val="24"/>
          <w:szCs w:val="24"/>
        </w:rPr>
        <w:t xml:space="preserve">附注（三）: </w:t>
      </w:r>
      <w:r w:rsidRPr="00DE1E0F">
        <w:rPr>
          <w:rFonts w:ascii="宋体" w:eastAsia="宋体" w:hAnsi="宋体" w:hint="eastAsia"/>
          <w:color w:val="000000" w:themeColor="text1"/>
          <w:sz w:val="24"/>
          <w:szCs w:val="24"/>
        </w:rPr>
        <w:t>企业所得税核定征收改为查账征收后有关资产的税务处理问题</w:t>
      </w:r>
    </w:p>
    <w:p w14:paraId="3A2E7092" w14:textId="63750988" w:rsidR="00DE1E0F" w:rsidRDefault="00DE1E0F" w:rsidP="00DE1E0F">
      <w:pPr>
        <w:pStyle w:val="a5"/>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1、</w:t>
      </w:r>
      <w:r>
        <w:rPr>
          <w:rFonts w:hint="eastAsia"/>
          <w:color w:val="333333"/>
        </w:rPr>
        <w:t>企业能够提供资产购置发票的，以发票载明金额为计税基础；</w:t>
      </w:r>
      <w:r>
        <w:rPr>
          <w:rStyle w:val="a7"/>
          <w:rFonts w:hint="eastAsia"/>
          <w:color w:val="333333"/>
        </w:rPr>
        <w:t>不能提供资产购置发票的，可以凭购置资产的合同（协议）、资金支付证明、会计核算资料等记载金额，作为计税基础</w:t>
      </w:r>
      <w:r>
        <w:rPr>
          <w:rFonts w:hint="eastAsia"/>
          <w:color w:val="333333"/>
        </w:rPr>
        <w:t>。</w:t>
      </w:r>
    </w:p>
    <w:p w14:paraId="22A16051" w14:textId="77777777" w:rsidR="00DE1E0F" w:rsidRDefault="00DE1E0F" w:rsidP="00DE1E0F">
      <w:pPr>
        <w:pStyle w:val="a5"/>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t>[</w:t>
      </w:r>
      <w:r>
        <w:rPr>
          <w:rStyle w:val="ac"/>
          <w:rFonts w:hint="eastAsia"/>
          <w:color w:val="333333"/>
        </w:rPr>
        <w:t>思考：合同（协议）、资金支付证明、会计核算资料等，哪些属于必备资料？如因未支付而挂在“应付账款”账户，是否可以作为计税基础？</w:t>
      </w:r>
      <w:r>
        <w:rPr>
          <w:rFonts w:hint="eastAsia"/>
          <w:color w:val="333333"/>
        </w:rPr>
        <w:t>]</w:t>
      </w:r>
    </w:p>
    <w:p w14:paraId="23F8CC09" w14:textId="77777777" w:rsidR="00DE1E0F" w:rsidRDefault="00DE1E0F" w:rsidP="00DE1E0F">
      <w:pPr>
        <w:pStyle w:val="a5"/>
        <w:shd w:val="clear" w:color="auto" w:fill="FFFFFF"/>
        <w:spacing w:beforeLines="50" w:before="156" w:beforeAutospacing="0" w:after="0" w:afterAutospacing="0" w:line="360" w:lineRule="auto"/>
        <w:ind w:firstLine="480"/>
        <w:jc w:val="right"/>
        <w:rPr>
          <w:rFonts w:hint="eastAsia"/>
          <w:color w:val="333333"/>
        </w:rPr>
      </w:pPr>
      <w:r w:rsidRPr="000060EF">
        <w:rPr>
          <w:rFonts w:hint="eastAsia"/>
          <w:color w:val="333333"/>
        </w:rPr>
        <w:t>（</w:t>
      </w:r>
      <w:hyperlink r:id="rId17" w:history="1">
        <w:r w:rsidRPr="000060EF">
          <w:rPr>
            <w:rStyle w:val="a6"/>
            <w:rFonts w:hint="eastAsia"/>
          </w:rPr>
          <w:t>国家税务总局公告2021年第17号</w:t>
        </w:r>
      </w:hyperlink>
      <w:r w:rsidRPr="000060EF">
        <w:rPr>
          <w:rFonts w:hint="eastAsia"/>
          <w:color w:val="333333"/>
        </w:rPr>
        <w:t>第</w:t>
      </w:r>
      <w:r>
        <w:rPr>
          <w:rFonts w:hint="eastAsia"/>
          <w:color w:val="333333"/>
        </w:rPr>
        <w:t>四</w:t>
      </w:r>
      <w:r w:rsidRPr="000060EF">
        <w:rPr>
          <w:rFonts w:hint="eastAsia"/>
          <w:color w:val="333333"/>
        </w:rPr>
        <w:t>条</w:t>
      </w:r>
      <w:r>
        <w:rPr>
          <w:rFonts w:hint="eastAsia"/>
          <w:color w:val="333333"/>
        </w:rPr>
        <w:t>第一项</w:t>
      </w:r>
      <w:r w:rsidRPr="000060EF">
        <w:rPr>
          <w:rFonts w:hint="eastAsia"/>
          <w:color w:val="333333"/>
        </w:rPr>
        <w:t>）</w:t>
      </w:r>
    </w:p>
    <w:p w14:paraId="1AB8291F" w14:textId="43B4CA8B" w:rsidR="00DE1E0F" w:rsidRDefault="00DE1E0F" w:rsidP="00DE1E0F">
      <w:pPr>
        <w:pStyle w:val="a5"/>
        <w:shd w:val="clear" w:color="auto" w:fill="FFFFFF"/>
        <w:spacing w:beforeLines="50" w:before="156" w:beforeAutospacing="0" w:after="0" w:afterAutospacing="0" w:line="360" w:lineRule="auto"/>
        <w:ind w:firstLine="480"/>
        <w:jc w:val="both"/>
        <w:rPr>
          <w:rFonts w:hint="eastAsia"/>
          <w:color w:val="333333"/>
        </w:rPr>
      </w:pPr>
      <w:r>
        <w:rPr>
          <w:rFonts w:hint="eastAsia"/>
          <w:color w:val="333333"/>
        </w:rPr>
        <w:lastRenderedPageBreak/>
        <w:t>2、</w:t>
      </w:r>
      <w:r>
        <w:rPr>
          <w:rFonts w:hint="eastAsia"/>
          <w:color w:val="333333"/>
        </w:rPr>
        <w:t>企业核定征税期间</w:t>
      </w:r>
      <w:r>
        <w:rPr>
          <w:rStyle w:val="a7"/>
          <w:rFonts w:hint="eastAsia"/>
          <w:color w:val="333333"/>
        </w:rPr>
        <w:t>投入使用的资产，改为查账征税后，按照税法规定的折旧、摊销年限，扣除该资产投入使用年限后，就剩余年限继续计提折旧、摊销额并在税前扣除</w:t>
      </w:r>
      <w:r>
        <w:rPr>
          <w:rFonts w:hint="eastAsia"/>
          <w:color w:val="333333"/>
        </w:rPr>
        <w:t>。</w:t>
      </w:r>
    </w:p>
    <w:p w14:paraId="260E586A" w14:textId="77777777" w:rsidR="00DE1E0F" w:rsidRDefault="00DE1E0F" w:rsidP="00DE1E0F">
      <w:pPr>
        <w:pStyle w:val="a5"/>
        <w:shd w:val="clear" w:color="auto" w:fill="FFFFFF"/>
        <w:spacing w:beforeLines="50" w:before="156" w:beforeAutospacing="0" w:after="0" w:afterAutospacing="0" w:line="360" w:lineRule="auto"/>
        <w:ind w:firstLine="480"/>
        <w:jc w:val="right"/>
        <w:rPr>
          <w:rFonts w:hint="eastAsia"/>
          <w:color w:val="333333"/>
        </w:rPr>
      </w:pPr>
      <w:r w:rsidRPr="000060EF">
        <w:rPr>
          <w:rFonts w:hint="eastAsia"/>
          <w:color w:val="333333"/>
        </w:rPr>
        <w:t>（</w:t>
      </w:r>
      <w:hyperlink r:id="rId18" w:history="1">
        <w:r w:rsidRPr="000060EF">
          <w:rPr>
            <w:rStyle w:val="a6"/>
            <w:rFonts w:hint="eastAsia"/>
          </w:rPr>
          <w:t>国家税务总局公告2021年第17号</w:t>
        </w:r>
      </w:hyperlink>
      <w:r w:rsidRPr="000060EF">
        <w:rPr>
          <w:rFonts w:hint="eastAsia"/>
          <w:color w:val="333333"/>
        </w:rPr>
        <w:t>第</w:t>
      </w:r>
      <w:r>
        <w:rPr>
          <w:rFonts w:hint="eastAsia"/>
          <w:color w:val="333333"/>
        </w:rPr>
        <w:t>四</w:t>
      </w:r>
      <w:r w:rsidRPr="000060EF">
        <w:rPr>
          <w:rFonts w:hint="eastAsia"/>
          <w:color w:val="333333"/>
        </w:rPr>
        <w:t>条</w:t>
      </w:r>
      <w:r>
        <w:rPr>
          <w:rFonts w:hint="eastAsia"/>
          <w:color w:val="333333"/>
        </w:rPr>
        <w:t>第二项</w:t>
      </w:r>
      <w:r w:rsidRPr="000060EF">
        <w:rPr>
          <w:rFonts w:hint="eastAsia"/>
          <w:color w:val="333333"/>
        </w:rPr>
        <w:t>）</w:t>
      </w:r>
    </w:p>
    <w:p w14:paraId="0F629F4C" w14:textId="77777777" w:rsidR="00DE1E0F" w:rsidRDefault="00DE1E0F" w:rsidP="00DE1E0F">
      <w:pPr>
        <w:pStyle w:val="a5"/>
        <w:shd w:val="clear" w:color="auto" w:fill="FFFFFF"/>
        <w:spacing w:beforeLines="50" w:before="156" w:beforeAutospacing="0" w:after="0" w:afterAutospacing="0" w:line="360" w:lineRule="auto"/>
        <w:ind w:firstLine="480"/>
        <w:jc w:val="both"/>
        <w:rPr>
          <w:rFonts w:hint="eastAsia"/>
        </w:rPr>
      </w:pPr>
      <w:r>
        <w:rPr>
          <w:rFonts w:hint="eastAsia"/>
          <w:color w:val="333333"/>
        </w:rPr>
        <w:t>本公告</w:t>
      </w:r>
      <w:r>
        <w:rPr>
          <w:rStyle w:val="a7"/>
          <w:rFonts w:hint="eastAsia"/>
          <w:color w:val="333333"/>
        </w:rPr>
        <w:t>适用于2021年及以后年度</w:t>
      </w:r>
      <w:r>
        <w:rPr>
          <w:rFonts w:hint="eastAsia"/>
          <w:color w:val="333333"/>
        </w:rPr>
        <w:t>汇算清缴。</w:t>
      </w:r>
    </w:p>
    <w:p w14:paraId="4AA5E1DA" w14:textId="09CB0B9E" w:rsidR="00DE1E0F" w:rsidRPr="008C4732" w:rsidRDefault="00DE1E0F" w:rsidP="00DE1E0F">
      <w:pPr>
        <w:pStyle w:val="a5"/>
        <w:shd w:val="clear" w:color="auto" w:fill="FFFFFF"/>
        <w:spacing w:beforeLines="50" w:before="156" w:beforeAutospacing="0" w:after="0" w:afterAutospacing="0" w:line="360" w:lineRule="auto"/>
        <w:ind w:firstLine="480"/>
        <w:jc w:val="right"/>
        <w:rPr>
          <w:color w:val="000000" w:themeColor="text1"/>
        </w:rPr>
      </w:pPr>
      <w:r w:rsidRPr="000060EF">
        <w:rPr>
          <w:rFonts w:hint="eastAsia"/>
          <w:color w:val="333333"/>
        </w:rPr>
        <w:t>（</w:t>
      </w:r>
      <w:hyperlink r:id="rId19" w:history="1">
        <w:r w:rsidRPr="000060EF">
          <w:rPr>
            <w:rStyle w:val="a6"/>
            <w:rFonts w:hint="eastAsia"/>
          </w:rPr>
          <w:t>国家税务总局公告2021年第17号</w:t>
        </w:r>
      </w:hyperlink>
      <w:r w:rsidRPr="000060EF">
        <w:rPr>
          <w:rFonts w:hint="eastAsia"/>
          <w:color w:val="333333"/>
        </w:rPr>
        <w:t>第</w:t>
      </w:r>
      <w:r>
        <w:rPr>
          <w:rFonts w:hint="eastAsia"/>
          <w:color w:val="333333"/>
        </w:rPr>
        <w:t>六</w:t>
      </w:r>
      <w:r w:rsidRPr="000060EF">
        <w:rPr>
          <w:rFonts w:hint="eastAsia"/>
          <w:color w:val="333333"/>
        </w:rPr>
        <w:t>条</w:t>
      </w:r>
      <w:r>
        <w:rPr>
          <w:rFonts w:hint="eastAsia"/>
          <w:color w:val="333333"/>
        </w:rPr>
        <w:t>第三款</w:t>
      </w:r>
      <w:r w:rsidRPr="000060EF">
        <w:rPr>
          <w:rFonts w:hint="eastAsia"/>
          <w:color w:val="333333"/>
        </w:rPr>
        <w:t>）</w:t>
      </w:r>
    </w:p>
    <w:p w14:paraId="59A977BD" w14:textId="77777777" w:rsidR="008C4732" w:rsidRPr="008C4732" w:rsidRDefault="008C4732" w:rsidP="008C4732">
      <w:pPr>
        <w:pStyle w:val="1"/>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t>二、后续计量</w:t>
      </w:r>
    </w:p>
    <w:p w14:paraId="55636FE4" w14:textId="77777777" w:rsidR="008C4732" w:rsidRPr="008C4732" w:rsidRDefault="008C4732" w:rsidP="008C4732">
      <w:pPr>
        <w:pStyle w:val="a5"/>
        <w:shd w:val="clear" w:color="auto" w:fill="FFFFFF"/>
        <w:spacing w:beforeLines="50" w:before="156" w:beforeAutospacing="0" w:after="0" w:afterAutospacing="0" w:line="480" w:lineRule="atLeast"/>
        <w:ind w:firstLineChars="200" w:firstLine="480"/>
        <w:rPr>
          <w:color w:val="000000" w:themeColor="text1"/>
        </w:rPr>
      </w:pPr>
      <w:r w:rsidRPr="008C4732">
        <w:rPr>
          <w:rFonts w:hint="eastAsia"/>
          <w:color w:val="000000" w:themeColor="text1"/>
        </w:rPr>
        <w:t>企业持有各项资产期间资产增值或者减值，除国务院财政、税务主管部门规定可以确认损益外，不得调整该资产的计税基础。</w:t>
      </w:r>
    </w:p>
    <w:p w14:paraId="62C85CAF" w14:textId="5C44B3D0" w:rsidR="008C4732" w:rsidRPr="008C4732" w:rsidRDefault="008C4732" w:rsidP="008C4732">
      <w:pPr>
        <w:pStyle w:val="a5"/>
        <w:spacing w:beforeLines="50" w:before="156" w:beforeAutospacing="0" w:after="0" w:afterAutospacing="0" w:line="480" w:lineRule="atLeast"/>
        <w:ind w:firstLineChars="200" w:firstLine="480"/>
        <w:jc w:val="right"/>
        <w:rPr>
          <w:color w:val="000000" w:themeColor="text1"/>
        </w:rPr>
      </w:pPr>
      <w:r w:rsidRPr="008C4732">
        <w:rPr>
          <w:rFonts w:hint="eastAsia"/>
          <w:color w:val="000000" w:themeColor="text1"/>
        </w:rPr>
        <w:t>（</w:t>
      </w:r>
      <w:r w:rsidR="00A922E3">
        <w:rPr>
          <w:rFonts w:asciiTheme="minorEastAsia" w:hAnsiTheme="minorEastAsia" w:hint="eastAsia"/>
          <w:color w:val="000000" w:themeColor="text1"/>
        </w:rPr>
        <w:t>《</w:t>
      </w:r>
      <w:hyperlink r:id="rId20" w:history="1">
        <w:r w:rsidR="00A922E3">
          <w:rPr>
            <w:rStyle w:val="a6"/>
            <w:rFonts w:asciiTheme="minorEastAsia" w:hAnsiTheme="minorEastAsia" w:hint="eastAsia"/>
          </w:rPr>
          <w:t>企业所得税法实施条例</w:t>
        </w:r>
      </w:hyperlink>
      <w:r w:rsidR="00A922E3">
        <w:rPr>
          <w:rFonts w:asciiTheme="minorEastAsia" w:hAnsiTheme="minorEastAsia" w:hint="eastAsia"/>
          <w:color w:val="000000" w:themeColor="text1"/>
        </w:rPr>
        <w:t>》</w:t>
      </w:r>
      <w:r w:rsidRPr="008C4732">
        <w:rPr>
          <w:rFonts w:hint="eastAsia"/>
          <w:color w:val="000000" w:themeColor="text1"/>
        </w:rPr>
        <w:t>第五十六条第三款）</w:t>
      </w:r>
    </w:p>
    <w:p w14:paraId="04353BCC" w14:textId="77777777" w:rsidR="008C4732" w:rsidRPr="008C4732" w:rsidRDefault="008C4732" w:rsidP="008C4732">
      <w:pPr>
        <w:pStyle w:val="1"/>
        <w:spacing w:beforeLines="50" w:before="156" w:after="0" w:line="480" w:lineRule="atLeast"/>
        <w:rPr>
          <w:rFonts w:ascii="宋体" w:eastAsia="宋体" w:hAnsi="宋体"/>
          <w:color w:val="000000" w:themeColor="text1"/>
          <w:sz w:val="24"/>
          <w:szCs w:val="24"/>
        </w:rPr>
      </w:pPr>
      <w:r w:rsidRPr="008C4732">
        <w:rPr>
          <w:rFonts w:ascii="宋体" w:eastAsia="宋体" w:hAnsi="宋体" w:hint="eastAsia"/>
          <w:color w:val="000000" w:themeColor="text1"/>
          <w:sz w:val="24"/>
          <w:szCs w:val="24"/>
        </w:rPr>
        <w:t>附注：宣传提纲</w:t>
      </w:r>
    </w:p>
    <w:p w14:paraId="561BEE16" w14:textId="461A90E3" w:rsidR="008C4732" w:rsidRPr="008C4732" w:rsidRDefault="008C4732" w:rsidP="008C4732">
      <w:pPr>
        <w:pStyle w:val="a5"/>
        <w:shd w:val="clear" w:color="auto" w:fill="FFFFFF"/>
        <w:spacing w:beforeLines="50" w:before="156" w:beforeAutospacing="0" w:after="0" w:afterAutospacing="0" w:line="480" w:lineRule="atLeast"/>
        <w:ind w:firstLineChars="200" w:firstLine="480"/>
        <w:rPr>
          <w:color w:val="000000" w:themeColor="text1"/>
        </w:rPr>
      </w:pPr>
      <w:r w:rsidRPr="008C4732">
        <w:rPr>
          <w:rFonts w:hint="eastAsia"/>
          <w:color w:val="000000" w:themeColor="text1"/>
        </w:rPr>
        <w:t>考虑到过去在资产取得、持有、使用、处置等税务处理上税法与财务会计制度存在一定的差异，并且主要是时间性差异，纳税调整繁琐，税务机关税收执行成本和纳税人遵从成本都较高，实施条例在资产税务处理的规定上，对资产分类、取得计税成本等问题，尽量与财务会计制度保持一致，比如固定资产取得计税成本与会计账面价值基本保持一致、残值处理一致，只是在折旧年限上有所差异，这样可以降低纳税人纳税调整的负担。</w:t>
      </w:r>
    </w:p>
    <w:p w14:paraId="0889B71C" w14:textId="232278C3" w:rsidR="008C4732" w:rsidRPr="008C4732" w:rsidRDefault="008C4732" w:rsidP="008C4732">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C4732">
        <w:rPr>
          <w:rFonts w:hint="eastAsia"/>
          <w:color w:val="000000" w:themeColor="text1"/>
          <w:shd w:val="clear" w:color="auto" w:fill="FFFFFF"/>
        </w:rPr>
        <w:t>（</w:t>
      </w:r>
      <w:hyperlink r:id="rId21" w:history="1">
        <w:r w:rsidR="00D76F52">
          <w:rPr>
            <w:rStyle w:val="a6"/>
            <w:rFonts w:hint="eastAsia"/>
            <w:shd w:val="clear" w:color="auto" w:fill="FFFFFF"/>
          </w:rPr>
          <w:t>国税函</w:t>
        </w:r>
        <w:r w:rsidR="00D76F52">
          <w:rPr>
            <w:rStyle w:val="a6"/>
            <w:shd w:val="clear" w:color="auto" w:fill="FFFFFF"/>
          </w:rPr>
          <w:t>[2008]159</w:t>
        </w:r>
        <w:r w:rsidR="00D76F52">
          <w:rPr>
            <w:rStyle w:val="a6"/>
            <w:rFonts w:hint="eastAsia"/>
            <w:shd w:val="clear" w:color="auto" w:fill="FFFFFF"/>
          </w:rPr>
          <w:t>号</w:t>
        </w:r>
      </w:hyperlink>
      <w:r w:rsidRPr="008C4732">
        <w:rPr>
          <w:rFonts w:hint="eastAsia"/>
          <w:color w:val="000000" w:themeColor="text1"/>
          <w:shd w:val="clear" w:color="auto" w:fill="FFFFFF"/>
        </w:rPr>
        <w:t>第十八条第一款）</w:t>
      </w:r>
    </w:p>
    <w:p w14:paraId="26425CFA" w14:textId="77777777" w:rsidR="008C4732" w:rsidRPr="008C4732" w:rsidRDefault="008C4732" w:rsidP="008C4732">
      <w:pPr>
        <w:pStyle w:val="a5"/>
        <w:shd w:val="clear" w:color="auto" w:fill="FFFFFF"/>
        <w:spacing w:beforeLines="50" w:before="156" w:beforeAutospacing="0" w:after="0" w:afterAutospacing="0" w:line="480" w:lineRule="atLeast"/>
        <w:ind w:firstLineChars="200" w:firstLine="480"/>
        <w:rPr>
          <w:color w:val="000000" w:themeColor="text1"/>
        </w:rPr>
      </w:pPr>
      <w:r w:rsidRPr="008C4732">
        <w:rPr>
          <w:rFonts w:hint="eastAsia"/>
          <w:color w:val="000000" w:themeColor="text1"/>
        </w:rPr>
        <w:t>在企业重组的所得税处理方面，考虑到目前企业重组形式多样，发展变化较快，所得税处理较为复杂，很难用几个简单条款把企业重组的所有形式都规范清楚，有些规定还需要根据实际经验作适当调整，为保持实施条例的稳定性，实施条例第七十五条只对企业重组所得税处理内容进行了原则性概括，具体规定将在部门规章中明确。</w:t>
      </w:r>
    </w:p>
    <w:p w14:paraId="5AF5B850" w14:textId="5EA2DA85" w:rsidR="008C4732" w:rsidRPr="008C4732" w:rsidRDefault="008C4732" w:rsidP="008C4732">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r w:rsidRPr="008C4732">
        <w:rPr>
          <w:rFonts w:hint="eastAsia"/>
          <w:color w:val="000000" w:themeColor="text1"/>
          <w:shd w:val="clear" w:color="auto" w:fill="FFFFFF"/>
        </w:rPr>
        <w:t>（</w:t>
      </w:r>
      <w:hyperlink r:id="rId22" w:history="1">
        <w:r w:rsidR="00D76F52">
          <w:rPr>
            <w:rStyle w:val="a6"/>
            <w:rFonts w:hint="eastAsia"/>
            <w:shd w:val="clear" w:color="auto" w:fill="FFFFFF"/>
          </w:rPr>
          <w:t>国税函</w:t>
        </w:r>
        <w:r w:rsidR="00D76F52">
          <w:rPr>
            <w:rStyle w:val="a6"/>
            <w:shd w:val="clear" w:color="auto" w:fill="FFFFFF"/>
          </w:rPr>
          <w:t>[2008]159</w:t>
        </w:r>
        <w:r w:rsidR="00D76F52">
          <w:rPr>
            <w:rStyle w:val="a6"/>
            <w:rFonts w:hint="eastAsia"/>
            <w:shd w:val="clear" w:color="auto" w:fill="FFFFFF"/>
          </w:rPr>
          <w:t>号</w:t>
        </w:r>
      </w:hyperlink>
      <w:r w:rsidRPr="008C4732">
        <w:rPr>
          <w:rFonts w:hint="eastAsia"/>
          <w:color w:val="000000" w:themeColor="text1"/>
          <w:shd w:val="clear" w:color="auto" w:fill="FFFFFF"/>
        </w:rPr>
        <w:t>第十八条第二款）</w:t>
      </w:r>
    </w:p>
    <w:bookmarkEnd w:id="0"/>
    <w:p w14:paraId="3DCA87F9" w14:textId="77777777" w:rsidR="00F2659C" w:rsidRPr="008C4732" w:rsidRDefault="00F2659C" w:rsidP="008C4732">
      <w:pPr>
        <w:spacing w:beforeLines="50" w:before="156" w:line="480" w:lineRule="atLeast"/>
        <w:jc w:val="left"/>
        <w:rPr>
          <w:rFonts w:ascii="宋体" w:eastAsia="宋体" w:hAnsi="宋体"/>
          <w:color w:val="000000" w:themeColor="text1"/>
          <w:sz w:val="24"/>
          <w:szCs w:val="24"/>
        </w:rPr>
      </w:pPr>
    </w:p>
    <w:sectPr w:rsidR="00F2659C" w:rsidRPr="008C473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AFFB4" w14:textId="77777777" w:rsidR="004C0E17" w:rsidRDefault="004C0E17" w:rsidP="008D63C6">
      <w:r>
        <w:separator/>
      </w:r>
    </w:p>
  </w:endnote>
  <w:endnote w:type="continuationSeparator" w:id="0">
    <w:p w14:paraId="3FF2D1A7" w14:textId="77777777" w:rsidR="004C0E17" w:rsidRDefault="004C0E17"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8D63C6" w:rsidRDefault="008D63C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1E0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1E0F">
              <w:rPr>
                <w:b/>
                <w:bCs/>
                <w:noProof/>
              </w:rPr>
              <w:t>3</w:t>
            </w:r>
            <w:r>
              <w:rPr>
                <w:b/>
                <w:bCs/>
                <w:sz w:val="24"/>
                <w:szCs w:val="24"/>
              </w:rPr>
              <w:fldChar w:fldCharType="end"/>
            </w:r>
          </w:p>
        </w:sdtContent>
      </w:sdt>
    </w:sdtContent>
  </w:sdt>
  <w:p w14:paraId="27157256" w14:textId="77777777" w:rsidR="008D63C6" w:rsidRDefault="008D63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3435B" w14:textId="77777777" w:rsidR="004C0E17" w:rsidRDefault="004C0E17" w:rsidP="008D63C6">
      <w:r>
        <w:separator/>
      </w:r>
    </w:p>
  </w:footnote>
  <w:footnote w:type="continuationSeparator" w:id="0">
    <w:p w14:paraId="3B558FD7" w14:textId="77777777" w:rsidR="004C0E17" w:rsidRDefault="004C0E17"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78FB"/>
    <w:rsid w:val="00036BD7"/>
    <w:rsid w:val="000665B5"/>
    <w:rsid w:val="00076DF4"/>
    <w:rsid w:val="000E1550"/>
    <w:rsid w:val="000F6FDA"/>
    <w:rsid w:val="00106154"/>
    <w:rsid w:val="00112916"/>
    <w:rsid w:val="0012077A"/>
    <w:rsid w:val="0013371B"/>
    <w:rsid w:val="001773B2"/>
    <w:rsid w:val="00186F69"/>
    <w:rsid w:val="00204EA7"/>
    <w:rsid w:val="0023101A"/>
    <w:rsid w:val="00294054"/>
    <w:rsid w:val="002B633B"/>
    <w:rsid w:val="002D4CDD"/>
    <w:rsid w:val="002E1AF6"/>
    <w:rsid w:val="002F50D4"/>
    <w:rsid w:val="003006A6"/>
    <w:rsid w:val="003163EC"/>
    <w:rsid w:val="00322E87"/>
    <w:rsid w:val="0034249D"/>
    <w:rsid w:val="003773C5"/>
    <w:rsid w:val="00390245"/>
    <w:rsid w:val="003A3829"/>
    <w:rsid w:val="003A3D20"/>
    <w:rsid w:val="003E7611"/>
    <w:rsid w:val="0040440C"/>
    <w:rsid w:val="004271D7"/>
    <w:rsid w:val="00462FF2"/>
    <w:rsid w:val="004B6E8F"/>
    <w:rsid w:val="004C0E17"/>
    <w:rsid w:val="005111C0"/>
    <w:rsid w:val="005B13D2"/>
    <w:rsid w:val="005D00CA"/>
    <w:rsid w:val="00604838"/>
    <w:rsid w:val="006309F4"/>
    <w:rsid w:val="00670E0F"/>
    <w:rsid w:val="00672948"/>
    <w:rsid w:val="006979BE"/>
    <w:rsid w:val="006A6936"/>
    <w:rsid w:val="006E3156"/>
    <w:rsid w:val="007273FC"/>
    <w:rsid w:val="00740A21"/>
    <w:rsid w:val="00751B4A"/>
    <w:rsid w:val="0076742F"/>
    <w:rsid w:val="00782523"/>
    <w:rsid w:val="00836465"/>
    <w:rsid w:val="00846BFB"/>
    <w:rsid w:val="0085492F"/>
    <w:rsid w:val="00867863"/>
    <w:rsid w:val="008A13A6"/>
    <w:rsid w:val="008B47D7"/>
    <w:rsid w:val="008C1FAE"/>
    <w:rsid w:val="008C4732"/>
    <w:rsid w:val="008D63C6"/>
    <w:rsid w:val="008F4E32"/>
    <w:rsid w:val="009524C2"/>
    <w:rsid w:val="00990092"/>
    <w:rsid w:val="009E18C9"/>
    <w:rsid w:val="00A1440A"/>
    <w:rsid w:val="00A27AE2"/>
    <w:rsid w:val="00A468A7"/>
    <w:rsid w:val="00A73CD1"/>
    <w:rsid w:val="00A91435"/>
    <w:rsid w:val="00A922E3"/>
    <w:rsid w:val="00AA70A7"/>
    <w:rsid w:val="00AC3F64"/>
    <w:rsid w:val="00AC536B"/>
    <w:rsid w:val="00AD0622"/>
    <w:rsid w:val="00AF5778"/>
    <w:rsid w:val="00AF798D"/>
    <w:rsid w:val="00B16CF6"/>
    <w:rsid w:val="00BD0510"/>
    <w:rsid w:val="00BF3704"/>
    <w:rsid w:val="00C30CE5"/>
    <w:rsid w:val="00C31DC2"/>
    <w:rsid w:val="00C56DB0"/>
    <w:rsid w:val="00C56E20"/>
    <w:rsid w:val="00C83F5C"/>
    <w:rsid w:val="00CC62A5"/>
    <w:rsid w:val="00CE17B0"/>
    <w:rsid w:val="00D206C3"/>
    <w:rsid w:val="00D30FE2"/>
    <w:rsid w:val="00D42F41"/>
    <w:rsid w:val="00D505A2"/>
    <w:rsid w:val="00D72B80"/>
    <w:rsid w:val="00D76F52"/>
    <w:rsid w:val="00DB24DC"/>
    <w:rsid w:val="00DB566A"/>
    <w:rsid w:val="00DC0CBB"/>
    <w:rsid w:val="00DE1E0F"/>
    <w:rsid w:val="00DE6113"/>
    <w:rsid w:val="00DF2592"/>
    <w:rsid w:val="00DF51FF"/>
    <w:rsid w:val="00E143C6"/>
    <w:rsid w:val="00E17D2D"/>
    <w:rsid w:val="00E22101"/>
    <w:rsid w:val="00E54CBE"/>
    <w:rsid w:val="00EA120E"/>
    <w:rsid w:val="00EC240C"/>
    <w:rsid w:val="00EE146A"/>
    <w:rsid w:val="00EF1B16"/>
    <w:rsid w:val="00F03A07"/>
    <w:rsid w:val="00F0630D"/>
    <w:rsid w:val="00F12A62"/>
    <w:rsid w:val="00F2659C"/>
    <w:rsid w:val="00F51D5A"/>
    <w:rsid w:val="00F57C18"/>
    <w:rsid w:val="00FA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paragraph" w:styleId="a8">
    <w:name w:val="Balloon Text"/>
    <w:basedOn w:val="a"/>
    <w:link w:val="Char1"/>
    <w:uiPriority w:val="99"/>
    <w:semiHidden/>
    <w:unhideWhenUsed/>
    <w:rsid w:val="0085492F"/>
    <w:rPr>
      <w:sz w:val="18"/>
      <w:szCs w:val="18"/>
    </w:rPr>
  </w:style>
  <w:style w:type="character" w:customStyle="1" w:styleId="Char1">
    <w:name w:val="批注框文本 Char"/>
    <w:basedOn w:val="a0"/>
    <w:link w:val="a8"/>
    <w:uiPriority w:val="99"/>
    <w:semiHidden/>
    <w:rsid w:val="0085492F"/>
    <w:rPr>
      <w:sz w:val="18"/>
      <w:szCs w:val="18"/>
    </w:rPr>
  </w:style>
  <w:style w:type="character" w:styleId="a9">
    <w:name w:val="annotation reference"/>
    <w:basedOn w:val="a0"/>
    <w:uiPriority w:val="99"/>
    <w:semiHidden/>
    <w:unhideWhenUsed/>
    <w:rsid w:val="0085492F"/>
    <w:rPr>
      <w:sz w:val="21"/>
      <w:szCs w:val="21"/>
    </w:rPr>
  </w:style>
  <w:style w:type="paragraph" w:styleId="aa">
    <w:name w:val="annotation text"/>
    <w:basedOn w:val="a"/>
    <w:link w:val="Char2"/>
    <w:uiPriority w:val="99"/>
    <w:unhideWhenUsed/>
    <w:rsid w:val="0085492F"/>
    <w:pPr>
      <w:jc w:val="left"/>
    </w:pPr>
  </w:style>
  <w:style w:type="character" w:customStyle="1" w:styleId="Char2">
    <w:name w:val="批注文字 Char"/>
    <w:basedOn w:val="a0"/>
    <w:link w:val="aa"/>
    <w:uiPriority w:val="99"/>
    <w:rsid w:val="0085492F"/>
  </w:style>
  <w:style w:type="paragraph" w:styleId="ab">
    <w:name w:val="No Spacing"/>
    <w:uiPriority w:val="1"/>
    <w:qFormat/>
    <w:rsid w:val="0085492F"/>
    <w:pPr>
      <w:widowControl w:val="0"/>
      <w:jc w:val="both"/>
    </w:pPr>
  </w:style>
  <w:style w:type="character" w:styleId="ac">
    <w:name w:val="Emphasis"/>
    <w:basedOn w:val="a0"/>
    <w:uiPriority w:val="20"/>
    <w:qFormat/>
    <w:rsid w:val="00DE1E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paragraph" w:styleId="a8">
    <w:name w:val="Balloon Text"/>
    <w:basedOn w:val="a"/>
    <w:link w:val="Char1"/>
    <w:uiPriority w:val="99"/>
    <w:semiHidden/>
    <w:unhideWhenUsed/>
    <w:rsid w:val="0085492F"/>
    <w:rPr>
      <w:sz w:val="18"/>
      <w:szCs w:val="18"/>
    </w:rPr>
  </w:style>
  <w:style w:type="character" w:customStyle="1" w:styleId="Char1">
    <w:name w:val="批注框文本 Char"/>
    <w:basedOn w:val="a0"/>
    <w:link w:val="a8"/>
    <w:uiPriority w:val="99"/>
    <w:semiHidden/>
    <w:rsid w:val="0085492F"/>
    <w:rPr>
      <w:sz w:val="18"/>
      <w:szCs w:val="18"/>
    </w:rPr>
  </w:style>
  <w:style w:type="character" w:styleId="a9">
    <w:name w:val="annotation reference"/>
    <w:basedOn w:val="a0"/>
    <w:uiPriority w:val="99"/>
    <w:semiHidden/>
    <w:unhideWhenUsed/>
    <w:rsid w:val="0085492F"/>
    <w:rPr>
      <w:sz w:val="21"/>
      <w:szCs w:val="21"/>
    </w:rPr>
  </w:style>
  <w:style w:type="paragraph" w:styleId="aa">
    <w:name w:val="annotation text"/>
    <w:basedOn w:val="a"/>
    <w:link w:val="Char2"/>
    <w:uiPriority w:val="99"/>
    <w:unhideWhenUsed/>
    <w:rsid w:val="0085492F"/>
    <w:pPr>
      <w:jc w:val="left"/>
    </w:pPr>
  </w:style>
  <w:style w:type="character" w:customStyle="1" w:styleId="Char2">
    <w:name w:val="批注文字 Char"/>
    <w:basedOn w:val="a0"/>
    <w:link w:val="aa"/>
    <w:uiPriority w:val="99"/>
    <w:rsid w:val="0085492F"/>
  </w:style>
  <w:style w:type="paragraph" w:styleId="ab">
    <w:name w:val="No Spacing"/>
    <w:uiPriority w:val="1"/>
    <w:qFormat/>
    <w:rsid w:val="0085492F"/>
    <w:pPr>
      <w:widowControl w:val="0"/>
      <w:jc w:val="both"/>
    </w:pPr>
  </w:style>
  <w:style w:type="character" w:styleId="ac">
    <w:name w:val="Emphasis"/>
    <w:basedOn w:val="a0"/>
    <w:uiPriority w:val="20"/>
    <w:qFormat/>
    <w:rsid w:val="00DE1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83.html" TargetMode="External"/><Relationship Id="rId13" Type="http://schemas.openxmlformats.org/officeDocument/2006/relationships/hyperlink" Target="http://ssfb86.com/index/News/detail/newsid/1218.html" TargetMode="External"/><Relationship Id="rId18" Type="http://schemas.openxmlformats.org/officeDocument/2006/relationships/hyperlink" Target="http://ssfb86.com/index/News/detail/newsid/9026.html" TargetMode="External"/><Relationship Id="rId3" Type="http://schemas.openxmlformats.org/officeDocument/2006/relationships/settings" Target="settings.xml"/><Relationship Id="rId21" Type="http://schemas.openxmlformats.org/officeDocument/2006/relationships/hyperlink" Target="http://ssfb86.com/index/News/detail/newsid/2508.html" TargetMode="External"/><Relationship Id="rId7" Type="http://schemas.openxmlformats.org/officeDocument/2006/relationships/hyperlink" Target="http://ssfb86.com/index/News/detail/newsid/7083.html" TargetMode="External"/><Relationship Id="rId12" Type="http://schemas.openxmlformats.org/officeDocument/2006/relationships/hyperlink" Target="http://ssfb86.com/index/News/detail/newsid/1218.html" TargetMode="External"/><Relationship Id="rId17" Type="http://schemas.openxmlformats.org/officeDocument/2006/relationships/hyperlink" Target="http://ssfb86.com/index/News/detail/newsid/9026.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fb86.com/index/News/detail/newsid/1218.html" TargetMode="External"/><Relationship Id="rId20" Type="http://schemas.openxmlformats.org/officeDocument/2006/relationships/hyperlink" Target="http://ssfb86.com/index/News/detail/newsid/7083.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1689.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1218.html" TargetMode="External"/><Relationship Id="rId23" Type="http://schemas.openxmlformats.org/officeDocument/2006/relationships/footer" Target="footer1.xml"/><Relationship Id="rId10" Type="http://schemas.openxmlformats.org/officeDocument/2006/relationships/hyperlink" Target="http://ssfb86.com/index/News/detail/newsid/1218.html" TargetMode="External"/><Relationship Id="rId19" Type="http://schemas.openxmlformats.org/officeDocument/2006/relationships/hyperlink" Target="http://ssfb86.com/index/News/detail/newsid/9026.html" TargetMode="External"/><Relationship Id="rId4" Type="http://schemas.openxmlformats.org/officeDocument/2006/relationships/webSettings" Target="webSettings.xml"/><Relationship Id="rId9" Type="http://schemas.openxmlformats.org/officeDocument/2006/relationships/hyperlink" Target="http://ssfb86.com/index/News/detail/newsid/1218.html" TargetMode="External"/><Relationship Id="rId14" Type="http://schemas.openxmlformats.org/officeDocument/2006/relationships/hyperlink" Target="http://ssfb86.com/index/News/detail/newsid/1218.html" TargetMode="External"/><Relationship Id="rId22" Type="http://schemas.openxmlformats.org/officeDocument/2006/relationships/hyperlink" Target="http://ssfb86.com/index/News/detail/newsid/250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8</cp:revision>
  <dcterms:created xsi:type="dcterms:W3CDTF">2020-07-06T06:16:00Z</dcterms:created>
  <dcterms:modified xsi:type="dcterms:W3CDTF">2021-06-26T03:12:00Z</dcterms:modified>
</cp:coreProperties>
</file>