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B" w:rsidRDefault="00093ACB">
      <w:pPr>
        <w:rPr>
          <w:rFonts w:hint="eastAsia"/>
        </w:rPr>
      </w:pPr>
    </w:p>
    <w:p w:rsidR="00960AAE" w:rsidRDefault="00960AAE">
      <w:pPr>
        <w:rPr>
          <w:rFonts w:hint="eastAsia"/>
        </w:rPr>
      </w:pPr>
    </w:p>
    <w:p w:rsidR="00960AAE" w:rsidRPr="00960AAE" w:rsidRDefault="00960AAE" w:rsidP="00960AAE">
      <w:pPr>
        <w:jc w:val="center"/>
        <w:rPr>
          <w:rFonts w:ascii="宋体" w:eastAsia="宋体" w:hAnsi="宋体" w:hint="eastAsia"/>
          <w:b/>
          <w:bCs/>
          <w:color w:val="FF0000"/>
          <w:sz w:val="44"/>
          <w:szCs w:val="44"/>
        </w:rPr>
      </w:pPr>
      <w:r w:rsidRPr="00960AAE">
        <w:rPr>
          <w:rFonts w:hint="eastAsia"/>
          <w:color w:val="FF0000"/>
          <w:sz w:val="44"/>
          <w:szCs w:val="44"/>
        </w:rPr>
        <w:t xml:space="preserve">7.5.4.9  </w:t>
      </w:r>
      <w:r w:rsidRPr="00960AAE">
        <w:rPr>
          <w:rFonts w:ascii="宋体" w:eastAsia="宋体" w:hAnsi="宋体" w:hint="eastAsia"/>
          <w:b/>
          <w:bCs/>
          <w:color w:val="FF0000"/>
          <w:sz w:val="44"/>
          <w:szCs w:val="44"/>
        </w:rPr>
        <w:t>可转换债券转换为股权投资的税务处理</w:t>
      </w:r>
    </w:p>
    <w:p w:rsidR="00960AAE" w:rsidRDefault="00960AAE">
      <w:pPr>
        <w:rPr>
          <w:rFonts w:hint="eastAsia"/>
        </w:rPr>
      </w:pPr>
    </w:p>
    <w:p w:rsidR="00960AAE" w:rsidRPr="00960AAE" w:rsidRDefault="00960AAE" w:rsidP="00960AAE">
      <w:pPr>
        <w:spacing w:beforeLines="50" w:before="156" w:line="360" w:lineRule="auto"/>
        <w:rPr>
          <w:rFonts w:hint="eastAsia"/>
          <w:sz w:val="24"/>
          <w:szCs w:val="24"/>
        </w:rPr>
      </w:pPr>
      <w:bookmarkStart w:id="0" w:name="_GoBack"/>
    </w:p>
    <w:p w:rsidR="00960AAE" w:rsidRPr="00960AAE" w:rsidRDefault="00960AAE" w:rsidP="00960AAE">
      <w:pPr>
        <w:pStyle w:val="1"/>
        <w:spacing w:beforeLines="50" w:before="156" w:after="0" w:line="360" w:lineRule="auto"/>
        <w:rPr>
          <w:rFonts w:hint="eastAsia"/>
          <w:sz w:val="24"/>
          <w:szCs w:val="24"/>
        </w:rPr>
      </w:pPr>
      <w:r w:rsidRPr="00960AAE">
        <w:rPr>
          <w:rFonts w:hint="eastAsia"/>
          <w:sz w:val="24"/>
          <w:szCs w:val="24"/>
        </w:rPr>
        <w:t>一、</w:t>
      </w:r>
      <w:r w:rsidRPr="00960AAE">
        <w:rPr>
          <w:rFonts w:hint="eastAsia"/>
          <w:sz w:val="24"/>
          <w:szCs w:val="24"/>
        </w:rPr>
        <w:t>购买方企业的税务处理</w:t>
      </w:r>
    </w:p>
    <w:p w:rsidR="00960AAE" w:rsidRPr="00960AAE" w:rsidRDefault="00960AAE" w:rsidP="00960AAE">
      <w:pPr>
        <w:pStyle w:val="2"/>
        <w:spacing w:beforeLines="50" w:before="156" w:after="0" w:line="360" w:lineRule="auto"/>
        <w:rPr>
          <w:rFonts w:hint="eastAsia"/>
          <w:sz w:val="24"/>
          <w:szCs w:val="24"/>
        </w:rPr>
      </w:pPr>
      <w:r w:rsidRPr="00960AAE">
        <w:rPr>
          <w:rFonts w:hint="eastAsia"/>
          <w:sz w:val="24"/>
          <w:szCs w:val="24"/>
        </w:rPr>
        <w:t>（一）债券持有期间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60AAE">
        <w:rPr>
          <w:rFonts w:hint="eastAsia"/>
          <w:color w:val="333333"/>
        </w:rPr>
        <w:t>购买方企业购买</w:t>
      </w:r>
      <w:r w:rsidRPr="00960AAE">
        <w:rPr>
          <w:rStyle w:val="a7"/>
          <w:rFonts w:hint="eastAsia"/>
          <w:color w:val="333333"/>
        </w:rPr>
        <w:t>可转换债券，在其持有期间按照约定利率取得的利息收入，应当依法申报缴纳企业所得税</w:t>
      </w:r>
      <w:r w:rsidRPr="00960AAE">
        <w:rPr>
          <w:rFonts w:hint="eastAsia"/>
          <w:color w:val="333333"/>
        </w:rPr>
        <w:t>。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rFonts w:hint="eastAsia"/>
          <w:color w:val="333333"/>
        </w:rPr>
      </w:pPr>
      <w:r w:rsidRPr="00960AAE">
        <w:rPr>
          <w:rFonts w:hint="eastAsia"/>
          <w:color w:val="333333"/>
        </w:rPr>
        <w:t>（</w:t>
      </w:r>
      <w:hyperlink r:id="rId7" w:history="1">
        <w:r w:rsidRPr="00960AAE">
          <w:rPr>
            <w:rStyle w:val="a6"/>
            <w:rFonts w:hint="eastAsia"/>
          </w:rPr>
          <w:t>国家税务总局公告2021年第17号</w:t>
        </w:r>
      </w:hyperlink>
      <w:r w:rsidRPr="00960AAE">
        <w:rPr>
          <w:rFonts w:hint="eastAsia"/>
          <w:color w:val="333333"/>
        </w:rPr>
        <w:t>第二条第一项第一目）</w:t>
      </w:r>
    </w:p>
    <w:p w:rsidR="00960AAE" w:rsidRPr="00960AAE" w:rsidRDefault="00960AAE" w:rsidP="00960AAE">
      <w:pPr>
        <w:pStyle w:val="2"/>
        <w:spacing w:beforeLines="50" w:before="156" w:after="0" w:line="360" w:lineRule="auto"/>
        <w:rPr>
          <w:rFonts w:hint="eastAsia"/>
          <w:sz w:val="24"/>
          <w:szCs w:val="24"/>
        </w:rPr>
      </w:pPr>
      <w:r w:rsidRPr="00960AAE">
        <w:rPr>
          <w:rFonts w:hint="eastAsia"/>
          <w:sz w:val="24"/>
          <w:szCs w:val="24"/>
        </w:rPr>
        <w:t>（二）转换为股票时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60AAE">
        <w:rPr>
          <w:rFonts w:hint="eastAsia"/>
          <w:color w:val="333333"/>
        </w:rPr>
        <w:t>购买方企业</w:t>
      </w:r>
      <w:r w:rsidRPr="00960AAE">
        <w:rPr>
          <w:rStyle w:val="a7"/>
          <w:rFonts w:hint="eastAsia"/>
          <w:color w:val="333333"/>
        </w:rPr>
        <w:t>可转换债券转换为股票时，将应收未收利息一并转为股票的，该应收未收利息即使会计上未确认收入，税收上也应当作为当期利息收入申报纳税；转换后以该债券购买价、应收未收利息和支付的相关税费为该股票投资成本</w:t>
      </w:r>
      <w:r w:rsidRPr="00960AAE">
        <w:rPr>
          <w:rFonts w:hint="eastAsia"/>
          <w:color w:val="333333"/>
        </w:rPr>
        <w:t>。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rFonts w:hint="eastAsia"/>
          <w:color w:val="333333"/>
        </w:rPr>
      </w:pPr>
      <w:r w:rsidRPr="00960AAE">
        <w:rPr>
          <w:rFonts w:hint="eastAsia"/>
          <w:color w:val="333333"/>
        </w:rPr>
        <w:t>（</w:t>
      </w:r>
      <w:hyperlink r:id="rId8" w:history="1">
        <w:r w:rsidRPr="00960AAE">
          <w:rPr>
            <w:rStyle w:val="a6"/>
            <w:rFonts w:hint="eastAsia"/>
          </w:rPr>
          <w:t>国家税务总局公告2021年第17号</w:t>
        </w:r>
      </w:hyperlink>
      <w:r w:rsidRPr="00960AAE">
        <w:rPr>
          <w:rFonts w:hint="eastAsia"/>
          <w:color w:val="333333"/>
        </w:rPr>
        <w:t>第二条第一项第二目）</w:t>
      </w:r>
    </w:p>
    <w:p w:rsidR="00960AAE" w:rsidRPr="00960AAE" w:rsidRDefault="00960AAE" w:rsidP="00960AAE">
      <w:pPr>
        <w:pStyle w:val="1"/>
        <w:spacing w:beforeLines="50" w:before="156" w:after="0" w:line="360" w:lineRule="auto"/>
        <w:rPr>
          <w:rFonts w:hint="eastAsia"/>
          <w:sz w:val="24"/>
          <w:szCs w:val="24"/>
        </w:rPr>
      </w:pPr>
      <w:r w:rsidRPr="00960AAE">
        <w:rPr>
          <w:rFonts w:hint="eastAsia"/>
          <w:sz w:val="24"/>
          <w:szCs w:val="24"/>
        </w:rPr>
        <w:t>二、</w:t>
      </w:r>
      <w:r w:rsidRPr="00960AAE">
        <w:rPr>
          <w:rFonts w:hint="eastAsia"/>
          <w:sz w:val="24"/>
          <w:szCs w:val="24"/>
        </w:rPr>
        <w:t>发行方企业的税务处理</w:t>
      </w:r>
    </w:p>
    <w:p w:rsidR="00960AAE" w:rsidRPr="00960AAE" w:rsidRDefault="00960AAE" w:rsidP="00960AAE">
      <w:pPr>
        <w:pStyle w:val="2"/>
        <w:spacing w:beforeLines="50" w:before="156" w:after="0" w:line="360" w:lineRule="auto"/>
        <w:rPr>
          <w:rFonts w:hint="eastAsia"/>
          <w:sz w:val="24"/>
          <w:szCs w:val="24"/>
        </w:rPr>
      </w:pPr>
      <w:r w:rsidRPr="00960AAE">
        <w:rPr>
          <w:rFonts w:hint="eastAsia"/>
          <w:sz w:val="24"/>
          <w:szCs w:val="24"/>
        </w:rPr>
        <w:t>（一）债券利息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60AAE">
        <w:rPr>
          <w:rStyle w:val="a7"/>
          <w:rFonts w:hint="eastAsia"/>
          <w:color w:val="333333"/>
        </w:rPr>
        <w:t>发行方企业发生的可转换债券的利息，按照规定在税前扣除</w:t>
      </w:r>
      <w:r w:rsidRPr="00960AAE">
        <w:rPr>
          <w:rFonts w:hint="eastAsia"/>
          <w:color w:val="333333"/>
        </w:rPr>
        <w:t>。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rFonts w:hint="eastAsia"/>
          <w:color w:val="333333"/>
        </w:rPr>
      </w:pPr>
      <w:r w:rsidRPr="00960AAE">
        <w:rPr>
          <w:rFonts w:hint="eastAsia"/>
          <w:color w:val="333333"/>
        </w:rPr>
        <w:t>（</w:t>
      </w:r>
      <w:hyperlink r:id="rId9" w:history="1">
        <w:r w:rsidRPr="00960AAE">
          <w:rPr>
            <w:rStyle w:val="a6"/>
            <w:rFonts w:hint="eastAsia"/>
          </w:rPr>
          <w:t>国家税务总局公告2021年第17号</w:t>
        </w:r>
      </w:hyperlink>
      <w:r w:rsidRPr="00960AAE">
        <w:rPr>
          <w:rFonts w:hint="eastAsia"/>
          <w:color w:val="333333"/>
        </w:rPr>
        <w:t>第二条第二项第一目）</w:t>
      </w:r>
    </w:p>
    <w:p w:rsidR="00960AAE" w:rsidRPr="00960AAE" w:rsidRDefault="00960AAE" w:rsidP="00960AAE">
      <w:pPr>
        <w:pStyle w:val="2"/>
        <w:spacing w:beforeLines="50" w:before="156" w:after="0" w:line="360" w:lineRule="auto"/>
        <w:rPr>
          <w:rFonts w:hint="eastAsia"/>
          <w:sz w:val="24"/>
          <w:szCs w:val="24"/>
        </w:rPr>
      </w:pPr>
      <w:r w:rsidRPr="00960AAE">
        <w:rPr>
          <w:rFonts w:hint="eastAsia"/>
          <w:sz w:val="24"/>
          <w:szCs w:val="24"/>
        </w:rPr>
        <w:t>（二）转换为股票时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60AAE">
        <w:rPr>
          <w:rFonts w:hint="eastAsia"/>
          <w:color w:val="333333"/>
        </w:rPr>
        <w:t>发行方企业按照约定将购买方持有的</w:t>
      </w:r>
      <w:r w:rsidRPr="00960AAE">
        <w:rPr>
          <w:rStyle w:val="a7"/>
          <w:rFonts w:hint="eastAsia"/>
          <w:color w:val="333333"/>
        </w:rPr>
        <w:t>可转换债券和应付未付利息一并转为股票的，其应付未付利息视同已支付，按照规定在税前扣除</w:t>
      </w:r>
      <w:r w:rsidRPr="00960AAE">
        <w:rPr>
          <w:rFonts w:hint="eastAsia"/>
          <w:color w:val="333333"/>
        </w:rPr>
        <w:t>。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rFonts w:hint="eastAsia"/>
          <w:color w:val="333333"/>
        </w:rPr>
      </w:pPr>
      <w:r w:rsidRPr="00960AAE">
        <w:rPr>
          <w:rFonts w:hint="eastAsia"/>
          <w:color w:val="333333"/>
        </w:rPr>
        <w:t>（</w:t>
      </w:r>
      <w:hyperlink r:id="rId10" w:history="1">
        <w:r w:rsidRPr="00960AAE">
          <w:rPr>
            <w:rStyle w:val="a6"/>
            <w:rFonts w:hint="eastAsia"/>
          </w:rPr>
          <w:t>国家税务总局公告2021年第17号</w:t>
        </w:r>
      </w:hyperlink>
      <w:r w:rsidRPr="00960AAE">
        <w:rPr>
          <w:rFonts w:hint="eastAsia"/>
          <w:color w:val="333333"/>
        </w:rPr>
        <w:t>第二条第二项第二目）</w:t>
      </w:r>
    </w:p>
    <w:p w:rsidR="00960AAE" w:rsidRPr="00960AAE" w:rsidRDefault="00960AAE" w:rsidP="00960AAE">
      <w:pPr>
        <w:pStyle w:val="1"/>
        <w:spacing w:beforeLines="50" w:before="156" w:after="0" w:line="360" w:lineRule="auto"/>
        <w:rPr>
          <w:rFonts w:hint="eastAsia"/>
          <w:sz w:val="24"/>
          <w:szCs w:val="24"/>
        </w:rPr>
      </w:pPr>
      <w:r w:rsidRPr="00960AAE">
        <w:rPr>
          <w:rFonts w:hint="eastAsia"/>
          <w:sz w:val="24"/>
          <w:szCs w:val="24"/>
        </w:rPr>
        <w:lastRenderedPageBreak/>
        <w:t>三、执行日期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both"/>
        <w:rPr>
          <w:rFonts w:hint="eastAsia"/>
        </w:rPr>
      </w:pPr>
      <w:r w:rsidRPr="00960AAE">
        <w:rPr>
          <w:rFonts w:hint="eastAsia"/>
          <w:color w:val="333333"/>
        </w:rPr>
        <w:t>本公告</w:t>
      </w:r>
      <w:r w:rsidRPr="00960AAE">
        <w:rPr>
          <w:rStyle w:val="a7"/>
          <w:rFonts w:hint="eastAsia"/>
          <w:color w:val="333333"/>
        </w:rPr>
        <w:t>适用于2021年及以后年度</w:t>
      </w:r>
      <w:r w:rsidRPr="00960AAE">
        <w:rPr>
          <w:rFonts w:hint="eastAsia"/>
          <w:color w:val="333333"/>
        </w:rPr>
        <w:t>汇算清缴。</w:t>
      </w:r>
    </w:p>
    <w:p w:rsidR="00960AAE" w:rsidRPr="00960AAE" w:rsidRDefault="00960AAE" w:rsidP="00960AAE">
      <w:pPr>
        <w:pStyle w:val="a5"/>
        <w:shd w:val="clear" w:color="auto" w:fill="FFFFFF"/>
        <w:spacing w:beforeLines="50" w:before="156" w:beforeAutospacing="0" w:after="0" w:afterAutospacing="0" w:line="360" w:lineRule="auto"/>
        <w:ind w:firstLine="480"/>
        <w:jc w:val="right"/>
        <w:rPr>
          <w:rFonts w:hint="eastAsia"/>
          <w:color w:val="333333"/>
        </w:rPr>
      </w:pPr>
      <w:r w:rsidRPr="00960AAE">
        <w:rPr>
          <w:rFonts w:hint="eastAsia"/>
          <w:color w:val="333333"/>
        </w:rPr>
        <w:t>（</w:t>
      </w:r>
      <w:hyperlink r:id="rId11" w:history="1">
        <w:r w:rsidRPr="00960AAE">
          <w:rPr>
            <w:rStyle w:val="a6"/>
            <w:rFonts w:hint="eastAsia"/>
          </w:rPr>
          <w:t>国家税务总局公告2021年第17号</w:t>
        </w:r>
      </w:hyperlink>
      <w:r w:rsidRPr="00960AAE">
        <w:rPr>
          <w:rFonts w:hint="eastAsia"/>
          <w:color w:val="333333"/>
        </w:rPr>
        <w:t>第六条第三款）</w:t>
      </w:r>
    </w:p>
    <w:p w:rsidR="00960AAE" w:rsidRPr="00960AAE" w:rsidRDefault="00960AAE" w:rsidP="00960AAE">
      <w:pPr>
        <w:spacing w:beforeLines="50" w:before="156" w:line="360" w:lineRule="auto"/>
        <w:rPr>
          <w:rFonts w:hint="eastAsia"/>
          <w:sz w:val="24"/>
          <w:szCs w:val="24"/>
        </w:rPr>
      </w:pPr>
    </w:p>
    <w:p w:rsidR="00960AAE" w:rsidRPr="00960AAE" w:rsidRDefault="00960AAE" w:rsidP="00960AAE">
      <w:pPr>
        <w:spacing w:beforeLines="50" w:before="156" w:line="360" w:lineRule="auto"/>
        <w:rPr>
          <w:rFonts w:hint="eastAsia"/>
          <w:sz w:val="24"/>
          <w:szCs w:val="24"/>
        </w:rPr>
      </w:pPr>
    </w:p>
    <w:bookmarkEnd w:id="0"/>
    <w:p w:rsidR="00960AAE" w:rsidRPr="00960AAE" w:rsidRDefault="00960AAE" w:rsidP="00960AAE">
      <w:pPr>
        <w:spacing w:beforeLines="50" w:before="156" w:line="360" w:lineRule="auto"/>
        <w:rPr>
          <w:sz w:val="24"/>
          <w:szCs w:val="24"/>
        </w:rPr>
      </w:pPr>
    </w:p>
    <w:sectPr w:rsidR="00960AAE" w:rsidRPr="0096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0A" w:rsidRDefault="005F060A" w:rsidP="00960AAE">
      <w:r>
        <w:separator/>
      </w:r>
    </w:p>
  </w:endnote>
  <w:endnote w:type="continuationSeparator" w:id="0">
    <w:p w:rsidR="005F060A" w:rsidRDefault="005F060A" w:rsidP="0096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0A" w:rsidRDefault="005F060A" w:rsidP="00960AAE">
      <w:r>
        <w:separator/>
      </w:r>
    </w:p>
  </w:footnote>
  <w:footnote w:type="continuationSeparator" w:id="0">
    <w:p w:rsidR="005F060A" w:rsidRDefault="005F060A" w:rsidP="00960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B5"/>
    <w:rsid w:val="00093ACB"/>
    <w:rsid w:val="000B20B5"/>
    <w:rsid w:val="005F060A"/>
    <w:rsid w:val="009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60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0A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A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0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60AAE"/>
    <w:rPr>
      <w:color w:val="0000FF"/>
      <w:u w:val="single"/>
    </w:rPr>
  </w:style>
  <w:style w:type="character" w:styleId="a7">
    <w:name w:val="Strong"/>
    <w:basedOn w:val="a0"/>
    <w:uiPriority w:val="22"/>
    <w:qFormat/>
    <w:rsid w:val="00960AAE"/>
    <w:rPr>
      <w:b/>
      <w:bCs/>
    </w:rPr>
  </w:style>
  <w:style w:type="character" w:customStyle="1" w:styleId="1Char">
    <w:name w:val="标题 1 Char"/>
    <w:basedOn w:val="a0"/>
    <w:link w:val="1"/>
    <w:uiPriority w:val="9"/>
    <w:rsid w:val="00960AA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60AA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60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0A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A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0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60AAE"/>
    <w:rPr>
      <w:color w:val="0000FF"/>
      <w:u w:val="single"/>
    </w:rPr>
  </w:style>
  <w:style w:type="character" w:styleId="a7">
    <w:name w:val="Strong"/>
    <w:basedOn w:val="a0"/>
    <w:uiPriority w:val="22"/>
    <w:qFormat/>
    <w:rsid w:val="00960AAE"/>
    <w:rPr>
      <w:b/>
      <w:bCs/>
    </w:rPr>
  </w:style>
  <w:style w:type="character" w:customStyle="1" w:styleId="1Char">
    <w:name w:val="标题 1 Char"/>
    <w:basedOn w:val="a0"/>
    <w:link w:val="1"/>
    <w:uiPriority w:val="9"/>
    <w:rsid w:val="00960AA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60AA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902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fb86.com/index/News/detail/newsid/902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sfb86.com/index/News/detail/newsid/902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sfb86.com/index/News/detail/newsid/90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902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2021-06-26T03:58:00Z</dcterms:created>
  <dcterms:modified xsi:type="dcterms:W3CDTF">2021-06-26T04:03:00Z</dcterms:modified>
</cp:coreProperties>
</file>