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A64C3" w14:textId="77777777" w:rsidR="00D87164" w:rsidRPr="001908AB" w:rsidRDefault="00D87164" w:rsidP="001908AB">
      <w:pPr>
        <w:spacing w:beforeLines="50" w:before="156" w:line="360" w:lineRule="auto"/>
        <w:rPr>
          <w:sz w:val="24"/>
          <w:szCs w:val="24"/>
        </w:rPr>
      </w:pPr>
    </w:p>
    <w:p w14:paraId="05F84FD4" w14:textId="77777777" w:rsidR="001908AB" w:rsidRPr="001908AB" w:rsidRDefault="001908AB" w:rsidP="001908AB">
      <w:pPr>
        <w:pStyle w:val="a7"/>
        <w:spacing w:beforeLines="50" w:before="156" w:beforeAutospacing="0" w:after="0" w:afterAutospacing="0" w:line="360" w:lineRule="auto"/>
        <w:ind w:firstLine="480"/>
        <w:jc w:val="center"/>
        <w:rPr>
          <w:rFonts w:ascii="Arial" w:hAnsi="Arial" w:cs="Arial"/>
          <w:b/>
          <w:color w:val="FF0000"/>
          <w:sz w:val="44"/>
          <w:szCs w:val="44"/>
        </w:rPr>
      </w:pPr>
      <w:r w:rsidRPr="001908AB">
        <w:rPr>
          <w:rFonts w:ascii="Arial" w:hAnsi="Arial" w:cs="Arial"/>
          <w:b/>
          <w:color w:val="FF0000"/>
          <w:sz w:val="44"/>
          <w:szCs w:val="44"/>
        </w:rPr>
        <w:t>关于适用《中华人民共和国</w:t>
      </w:r>
      <w:hyperlink r:id="rId6" w:tgtFrame="_blank" w:tooltip="公司法" w:history="1">
        <w:r w:rsidRPr="00D87164">
          <w:rPr>
            <w:rFonts w:ascii="Arial" w:hAnsi="Arial" w:cs="Arial"/>
            <w:b/>
            <w:color w:val="FF0000"/>
            <w:sz w:val="44"/>
            <w:szCs w:val="44"/>
          </w:rPr>
          <w:t>公司法</w:t>
        </w:r>
      </w:hyperlink>
      <w:r w:rsidRPr="001908AB">
        <w:rPr>
          <w:rFonts w:ascii="Arial" w:hAnsi="Arial" w:cs="Arial"/>
          <w:b/>
          <w:color w:val="FF0000"/>
          <w:sz w:val="44"/>
          <w:szCs w:val="44"/>
        </w:rPr>
        <w:t>》若干问题的规定</w:t>
      </w:r>
      <w:r w:rsidRPr="001908AB">
        <w:rPr>
          <w:rFonts w:ascii="Arial" w:hAnsi="Arial" w:cs="Arial"/>
          <w:b/>
          <w:color w:val="FF0000"/>
          <w:sz w:val="44"/>
          <w:szCs w:val="44"/>
        </w:rPr>
        <w:t>(</w:t>
      </w:r>
      <w:r w:rsidRPr="001908AB">
        <w:rPr>
          <w:rFonts w:ascii="Arial" w:hAnsi="Arial" w:cs="Arial"/>
          <w:b/>
          <w:color w:val="FF0000"/>
          <w:sz w:val="44"/>
          <w:szCs w:val="44"/>
        </w:rPr>
        <w:t>一</w:t>
      </w:r>
      <w:r w:rsidRPr="001908AB">
        <w:rPr>
          <w:rFonts w:ascii="Arial" w:hAnsi="Arial" w:cs="Arial"/>
          <w:b/>
          <w:color w:val="FF0000"/>
          <w:sz w:val="44"/>
          <w:szCs w:val="44"/>
        </w:rPr>
        <w:t>)</w:t>
      </w:r>
    </w:p>
    <w:p w14:paraId="221B3A54" w14:textId="77777777" w:rsidR="001908AB" w:rsidRDefault="001908AB" w:rsidP="001908AB">
      <w:pPr>
        <w:pStyle w:val="a7"/>
        <w:spacing w:beforeLines="50" w:before="156" w:beforeAutospacing="0" w:after="0" w:afterAutospacing="0" w:line="360" w:lineRule="auto"/>
        <w:ind w:firstLine="480"/>
        <w:rPr>
          <w:rFonts w:ascii="Arial" w:hAnsi="Arial" w:cs="Arial"/>
          <w:color w:val="333333"/>
        </w:rPr>
      </w:pPr>
    </w:p>
    <w:p w14:paraId="099978D8" w14:textId="0F2F40F3" w:rsidR="001908AB" w:rsidRDefault="001908AB" w:rsidP="001908AB">
      <w:pPr>
        <w:pStyle w:val="a7"/>
        <w:spacing w:beforeLines="50" w:before="156" w:beforeAutospacing="0" w:after="0" w:afterAutospacing="0" w:line="360" w:lineRule="auto"/>
        <w:ind w:firstLine="480"/>
        <w:rPr>
          <w:rFonts w:ascii="Arial" w:hAnsi="Arial" w:cs="Arial"/>
          <w:color w:val="333333"/>
        </w:rPr>
      </w:pPr>
      <w:r w:rsidRPr="001908AB">
        <w:rPr>
          <w:rFonts w:ascii="Arial" w:hAnsi="Arial" w:cs="Arial"/>
          <w:color w:val="333333"/>
        </w:rPr>
        <w:t>(2006</w:t>
      </w:r>
      <w:r w:rsidRPr="001908AB">
        <w:rPr>
          <w:rFonts w:ascii="Arial" w:hAnsi="Arial" w:cs="Arial"/>
          <w:color w:val="333333"/>
        </w:rPr>
        <w:t>年</w:t>
      </w:r>
      <w:r w:rsidRPr="001908AB">
        <w:rPr>
          <w:rFonts w:ascii="Arial" w:hAnsi="Arial" w:cs="Arial"/>
          <w:color w:val="333333"/>
        </w:rPr>
        <w:t>3</w:t>
      </w:r>
      <w:r w:rsidRPr="001908AB">
        <w:rPr>
          <w:rFonts w:ascii="Arial" w:hAnsi="Arial" w:cs="Arial"/>
          <w:color w:val="333333"/>
        </w:rPr>
        <w:t>月</w:t>
      </w:r>
      <w:r w:rsidRPr="001908AB">
        <w:rPr>
          <w:rFonts w:ascii="Arial" w:hAnsi="Arial" w:cs="Arial"/>
          <w:color w:val="333333"/>
        </w:rPr>
        <w:t>27</w:t>
      </w:r>
      <w:r w:rsidRPr="001908AB">
        <w:rPr>
          <w:rFonts w:ascii="Arial" w:hAnsi="Arial" w:cs="Arial"/>
          <w:color w:val="333333"/>
        </w:rPr>
        <w:t>日最高人民法院审判委员会第</w:t>
      </w:r>
      <w:r w:rsidRPr="001908AB">
        <w:rPr>
          <w:rFonts w:ascii="Arial" w:hAnsi="Arial" w:cs="Arial"/>
          <w:color w:val="333333"/>
        </w:rPr>
        <w:t>1382</w:t>
      </w:r>
      <w:r w:rsidRPr="001908AB">
        <w:rPr>
          <w:rFonts w:ascii="Arial" w:hAnsi="Arial" w:cs="Arial"/>
          <w:color w:val="333333"/>
        </w:rPr>
        <w:t>次会议通过</w:t>
      </w:r>
      <w:r w:rsidR="00455E6D">
        <w:rPr>
          <w:rFonts w:ascii="Arial" w:hAnsi="Arial" w:cs="Arial" w:hint="eastAsia"/>
          <w:color w:val="333333"/>
        </w:rPr>
        <w:t>，</w:t>
      </w:r>
      <w:r w:rsidRPr="001908AB">
        <w:rPr>
          <w:rFonts w:ascii="Arial" w:hAnsi="Arial" w:cs="Arial"/>
          <w:color w:val="333333"/>
        </w:rPr>
        <w:t>根据</w:t>
      </w:r>
      <w:r w:rsidRPr="001908AB">
        <w:rPr>
          <w:rFonts w:ascii="Arial" w:hAnsi="Arial" w:cs="Arial"/>
          <w:color w:val="333333"/>
        </w:rPr>
        <w:t>2014</w:t>
      </w:r>
      <w:r w:rsidRPr="001908AB">
        <w:rPr>
          <w:rFonts w:ascii="Arial" w:hAnsi="Arial" w:cs="Arial"/>
          <w:color w:val="333333"/>
        </w:rPr>
        <w:t>年</w:t>
      </w:r>
      <w:r w:rsidRPr="001908AB">
        <w:rPr>
          <w:rFonts w:ascii="Arial" w:hAnsi="Arial" w:cs="Arial"/>
          <w:color w:val="333333"/>
        </w:rPr>
        <w:t>2</w:t>
      </w:r>
      <w:r w:rsidRPr="001908AB">
        <w:rPr>
          <w:rFonts w:ascii="Arial" w:hAnsi="Arial" w:cs="Arial"/>
          <w:color w:val="333333"/>
        </w:rPr>
        <w:t>月</w:t>
      </w:r>
      <w:r w:rsidRPr="001908AB">
        <w:rPr>
          <w:rFonts w:ascii="Arial" w:hAnsi="Arial" w:cs="Arial"/>
          <w:color w:val="333333"/>
        </w:rPr>
        <w:t>17</w:t>
      </w:r>
      <w:r w:rsidRPr="001908AB">
        <w:rPr>
          <w:rFonts w:ascii="Arial" w:hAnsi="Arial" w:cs="Arial"/>
          <w:color w:val="333333"/>
        </w:rPr>
        <w:t>日最高人民法院审判委员会第</w:t>
      </w:r>
      <w:r w:rsidRPr="001908AB">
        <w:rPr>
          <w:rFonts w:ascii="Arial" w:hAnsi="Arial" w:cs="Arial"/>
          <w:color w:val="333333"/>
        </w:rPr>
        <w:t>1607</w:t>
      </w:r>
      <w:r w:rsidRPr="001908AB">
        <w:rPr>
          <w:rFonts w:ascii="Arial" w:hAnsi="Arial" w:cs="Arial"/>
          <w:color w:val="333333"/>
        </w:rPr>
        <w:t>次会议</w:t>
      </w:r>
      <w:hyperlink r:id="rId7" w:history="1">
        <w:r w:rsidRPr="00EB602D">
          <w:rPr>
            <w:rStyle w:val="a8"/>
            <w:rFonts w:ascii="Arial" w:hAnsi="Arial" w:cs="Arial"/>
          </w:rPr>
          <w:t>关于修改关于适用〈中华人民共和国公司法〉若干问题的规定的决定》</w:t>
        </w:r>
      </w:hyperlink>
      <w:r w:rsidRPr="001908AB">
        <w:rPr>
          <w:rFonts w:ascii="Arial" w:hAnsi="Arial" w:cs="Arial"/>
          <w:color w:val="333333"/>
        </w:rPr>
        <w:t>修正</w:t>
      </w:r>
      <w:r w:rsidRPr="001908AB">
        <w:rPr>
          <w:rFonts w:ascii="Arial" w:hAnsi="Arial" w:cs="Arial"/>
          <w:color w:val="333333"/>
        </w:rPr>
        <w:t>)</w:t>
      </w:r>
    </w:p>
    <w:p w14:paraId="5FBD9F27" w14:textId="77777777" w:rsidR="001908AB" w:rsidRPr="001908AB" w:rsidRDefault="001908AB" w:rsidP="001908AB">
      <w:pPr>
        <w:pStyle w:val="a7"/>
        <w:spacing w:beforeLines="50" w:before="156" w:beforeAutospacing="0" w:after="0" w:afterAutospacing="0" w:line="360" w:lineRule="auto"/>
        <w:ind w:firstLine="480"/>
        <w:rPr>
          <w:rFonts w:ascii="Arial" w:hAnsi="Arial" w:cs="Arial"/>
          <w:color w:val="333333"/>
        </w:rPr>
      </w:pPr>
    </w:p>
    <w:p w14:paraId="088F8D36" w14:textId="77777777" w:rsidR="001908AB" w:rsidRPr="001908AB" w:rsidRDefault="001908AB" w:rsidP="001908AB">
      <w:pPr>
        <w:pStyle w:val="a7"/>
        <w:spacing w:beforeLines="50" w:before="156" w:beforeAutospacing="0" w:after="0" w:afterAutospacing="0" w:line="360" w:lineRule="auto"/>
        <w:ind w:firstLine="480"/>
        <w:rPr>
          <w:rFonts w:ascii="Arial" w:hAnsi="Arial" w:cs="Arial"/>
          <w:color w:val="333333"/>
        </w:rPr>
      </w:pPr>
      <w:r w:rsidRPr="001908AB">
        <w:rPr>
          <w:rFonts w:ascii="Arial" w:hAnsi="Arial" w:cs="Arial"/>
          <w:color w:val="333333"/>
        </w:rPr>
        <w:t>为正确适用</w:t>
      </w:r>
      <w:r w:rsidRPr="001908AB">
        <w:rPr>
          <w:rFonts w:ascii="Arial" w:hAnsi="Arial" w:cs="Arial"/>
          <w:color w:val="333333"/>
        </w:rPr>
        <w:t>2005</w:t>
      </w:r>
      <w:r w:rsidRPr="001908AB">
        <w:rPr>
          <w:rFonts w:ascii="Arial" w:hAnsi="Arial" w:cs="Arial"/>
          <w:color w:val="333333"/>
        </w:rPr>
        <w:t>年</w:t>
      </w:r>
      <w:r w:rsidRPr="001908AB">
        <w:rPr>
          <w:rFonts w:ascii="Arial" w:hAnsi="Arial" w:cs="Arial"/>
          <w:color w:val="333333"/>
        </w:rPr>
        <w:t>10</w:t>
      </w:r>
      <w:r w:rsidRPr="001908AB">
        <w:rPr>
          <w:rFonts w:ascii="Arial" w:hAnsi="Arial" w:cs="Arial"/>
          <w:color w:val="333333"/>
        </w:rPr>
        <w:t>月</w:t>
      </w:r>
      <w:r w:rsidRPr="001908AB">
        <w:rPr>
          <w:rFonts w:ascii="Arial" w:hAnsi="Arial" w:cs="Arial"/>
          <w:color w:val="333333"/>
        </w:rPr>
        <w:t>27</w:t>
      </w:r>
      <w:r w:rsidRPr="001908AB">
        <w:rPr>
          <w:rFonts w:ascii="Arial" w:hAnsi="Arial" w:cs="Arial"/>
          <w:color w:val="333333"/>
        </w:rPr>
        <w:t>日十届全国人大常委会第十八次会议修订的《中华人民共和国公司法》，对人民法院在审理相关的</w:t>
      </w:r>
      <w:hyperlink r:id="rId8" w:tgtFrame="_blank" w:tooltip="民事纠纷" w:history="1">
        <w:r w:rsidRPr="001908AB">
          <w:rPr>
            <w:color w:val="333333"/>
          </w:rPr>
          <w:t>民事纠纷</w:t>
        </w:r>
      </w:hyperlink>
      <w:r w:rsidRPr="001908AB">
        <w:rPr>
          <w:rFonts w:ascii="Arial" w:hAnsi="Arial" w:cs="Arial"/>
          <w:color w:val="333333"/>
        </w:rPr>
        <w:t>案件中，具体适用公司法的有关问题规定如下：</w:t>
      </w:r>
    </w:p>
    <w:p w14:paraId="062915A1" w14:textId="22DB56C9" w:rsidR="001908AB" w:rsidRDefault="001908AB" w:rsidP="001908AB">
      <w:pPr>
        <w:pStyle w:val="a7"/>
        <w:spacing w:beforeLines="50" w:before="156" w:beforeAutospacing="0" w:after="0" w:afterAutospacing="0" w:line="360" w:lineRule="auto"/>
        <w:ind w:firstLine="480"/>
        <w:rPr>
          <w:rFonts w:ascii="Arial" w:hAnsi="Arial" w:cs="Arial"/>
          <w:color w:val="333333"/>
        </w:rPr>
      </w:pPr>
      <w:r w:rsidRPr="0037361B">
        <w:rPr>
          <w:rFonts w:ascii="Arial" w:hAnsi="Arial" w:cs="Arial"/>
          <w:b/>
          <w:color w:val="333333"/>
        </w:rPr>
        <w:t>第一条</w:t>
      </w:r>
      <w:r w:rsidR="0037361B">
        <w:rPr>
          <w:rFonts w:ascii="Arial" w:hAnsi="Arial" w:cs="Arial" w:hint="eastAsia"/>
          <w:color w:val="333333"/>
        </w:rPr>
        <w:t xml:space="preserve">    </w:t>
      </w:r>
      <w:r w:rsidRPr="001908AB">
        <w:rPr>
          <w:rFonts w:ascii="Arial" w:hAnsi="Arial" w:cs="Arial"/>
          <w:color w:val="333333"/>
        </w:rPr>
        <w:t>公司法实施后，人民法院尚未审结的和新受理的民事案件，其</w:t>
      </w:r>
      <w:r w:rsidRPr="0037361B">
        <w:rPr>
          <w:rFonts w:ascii="Arial" w:hAnsi="Arial" w:cs="Arial"/>
          <w:b/>
          <w:color w:val="333333"/>
        </w:rPr>
        <w:t>民事行为或事件发生在公司法实施以前</w:t>
      </w:r>
      <w:r w:rsidRPr="001908AB">
        <w:rPr>
          <w:rFonts w:ascii="Arial" w:hAnsi="Arial" w:cs="Arial"/>
          <w:color w:val="333333"/>
        </w:rPr>
        <w:t>的，适用当时的法律</w:t>
      </w:r>
      <w:hyperlink r:id="rId9" w:tgtFrame="_blank" w:tooltip="法规" w:history="1">
        <w:r w:rsidRPr="001908AB">
          <w:rPr>
            <w:color w:val="333333"/>
          </w:rPr>
          <w:t>法规</w:t>
        </w:r>
      </w:hyperlink>
      <w:r w:rsidRPr="001908AB">
        <w:rPr>
          <w:rFonts w:ascii="Arial" w:hAnsi="Arial" w:cs="Arial"/>
          <w:color w:val="333333"/>
        </w:rPr>
        <w:t>和司法解释。</w:t>
      </w:r>
    </w:p>
    <w:p w14:paraId="539D32D0" w14:textId="13F12002" w:rsidR="00455E6D" w:rsidRDefault="00455E6D" w:rsidP="001908AB">
      <w:pPr>
        <w:pStyle w:val="a7"/>
        <w:spacing w:beforeLines="50" w:before="156" w:beforeAutospacing="0" w:after="0" w:afterAutospacing="0" w:line="360" w:lineRule="auto"/>
        <w:ind w:firstLine="480"/>
        <w:rPr>
          <w:rFonts w:ascii="Arial" w:hAnsi="Arial" w:cs="Arial"/>
          <w:color w:val="333333"/>
        </w:rPr>
      </w:pPr>
      <w:r>
        <w:rPr>
          <w:rFonts w:ascii="Arial" w:hAnsi="Arial" w:cs="Arial" w:hint="eastAsia"/>
          <w:color w:val="333333"/>
        </w:rPr>
        <w:t>[</w:t>
      </w:r>
      <w:r w:rsidRPr="00455E6D">
        <w:rPr>
          <w:rFonts w:ascii="Arial" w:hAnsi="Arial" w:cs="Arial" w:hint="eastAsia"/>
          <w:i/>
          <w:iCs/>
          <w:color w:val="333333"/>
        </w:rPr>
        <w:t>笔记：</w:t>
      </w:r>
      <w:r w:rsidR="00937502">
        <w:rPr>
          <w:rFonts w:ascii="Arial" w:hAnsi="Arial" w:cs="Arial" w:hint="eastAsia"/>
          <w:i/>
          <w:iCs/>
          <w:color w:val="333333"/>
        </w:rPr>
        <w:t>未审结（或新受理）的案件，其</w:t>
      </w:r>
      <w:r w:rsidRPr="00455E6D">
        <w:rPr>
          <w:rFonts w:ascii="Arial" w:hAnsi="Arial" w:cs="Arial" w:hint="eastAsia"/>
          <w:i/>
          <w:iCs/>
          <w:color w:val="333333"/>
        </w:rPr>
        <w:t>行为</w:t>
      </w:r>
      <w:r w:rsidR="00937502">
        <w:rPr>
          <w:rFonts w:ascii="Arial" w:hAnsi="Arial" w:cs="Arial" w:hint="eastAsia"/>
          <w:i/>
          <w:iCs/>
          <w:color w:val="333333"/>
        </w:rPr>
        <w:t>（</w:t>
      </w:r>
      <w:r w:rsidRPr="00455E6D">
        <w:rPr>
          <w:rFonts w:ascii="Arial" w:hAnsi="Arial" w:cs="Arial" w:hint="eastAsia"/>
          <w:i/>
          <w:iCs/>
          <w:color w:val="333333"/>
        </w:rPr>
        <w:t>或事件</w:t>
      </w:r>
      <w:r w:rsidR="00937502">
        <w:rPr>
          <w:rFonts w:ascii="Arial" w:hAnsi="Arial" w:cs="Arial" w:hint="eastAsia"/>
          <w:i/>
          <w:iCs/>
          <w:color w:val="333333"/>
        </w:rPr>
        <w:t>）</w:t>
      </w:r>
      <w:r w:rsidRPr="00455E6D">
        <w:rPr>
          <w:rFonts w:ascii="Arial" w:hAnsi="Arial" w:cs="Arial" w:hint="eastAsia"/>
          <w:i/>
          <w:iCs/>
          <w:color w:val="333333"/>
        </w:rPr>
        <w:t>发生在公司法实施前，如何适用法律？——适用当时的法律法规和司法解释——如当时没有明确规定，可参照适用公司法</w:t>
      </w:r>
      <w:r>
        <w:rPr>
          <w:rFonts w:ascii="Arial" w:hAnsi="Arial" w:cs="Arial" w:hint="eastAsia"/>
          <w:color w:val="333333"/>
        </w:rPr>
        <w:t>]</w:t>
      </w:r>
    </w:p>
    <w:p w14:paraId="24659F28" w14:textId="6C67BBA1" w:rsidR="00937502" w:rsidRPr="001908AB" w:rsidRDefault="00937502" w:rsidP="001908AB">
      <w:pPr>
        <w:pStyle w:val="a7"/>
        <w:spacing w:beforeLines="50" w:before="156" w:beforeAutospacing="0" w:after="0" w:afterAutospacing="0" w:line="360" w:lineRule="auto"/>
        <w:ind w:firstLine="480"/>
        <w:rPr>
          <w:rFonts w:ascii="Arial" w:hAnsi="Arial" w:cs="Arial" w:hint="eastAsia"/>
          <w:color w:val="333333"/>
        </w:rPr>
      </w:pPr>
      <w:r>
        <w:rPr>
          <w:rFonts w:ascii="Arial" w:hAnsi="Arial" w:cs="Arial" w:hint="eastAsia"/>
          <w:color w:val="333333"/>
        </w:rPr>
        <w:t>[</w:t>
      </w:r>
      <w:r w:rsidRPr="00937502">
        <w:rPr>
          <w:rFonts w:ascii="Arial" w:hAnsi="Arial" w:cs="Arial" w:hint="eastAsia"/>
          <w:i/>
          <w:iCs/>
          <w:color w:val="333333"/>
        </w:rPr>
        <w:t>笔记：已终审的案件再审时，是否适用《公司法》？——不适用</w:t>
      </w:r>
      <w:r>
        <w:rPr>
          <w:rFonts w:ascii="Arial" w:hAnsi="Arial" w:cs="Arial" w:hint="eastAsia"/>
          <w:color w:val="333333"/>
        </w:rPr>
        <w:t>]</w:t>
      </w:r>
    </w:p>
    <w:p w14:paraId="712F8020" w14:textId="77777777" w:rsidR="001908AB" w:rsidRPr="001908AB" w:rsidRDefault="001908AB" w:rsidP="001908AB">
      <w:pPr>
        <w:pStyle w:val="a7"/>
        <w:spacing w:beforeLines="50" w:before="156" w:beforeAutospacing="0" w:after="0" w:afterAutospacing="0" w:line="360" w:lineRule="auto"/>
        <w:ind w:firstLine="480"/>
        <w:rPr>
          <w:rFonts w:ascii="Arial" w:hAnsi="Arial" w:cs="Arial"/>
          <w:color w:val="333333"/>
        </w:rPr>
      </w:pPr>
      <w:r w:rsidRPr="0037361B">
        <w:rPr>
          <w:rFonts w:ascii="Arial" w:hAnsi="Arial" w:cs="Arial"/>
          <w:b/>
          <w:color w:val="333333"/>
        </w:rPr>
        <w:t>第二条</w:t>
      </w:r>
      <w:r w:rsidR="0037361B">
        <w:rPr>
          <w:rFonts w:ascii="Arial" w:hAnsi="Arial" w:cs="Arial" w:hint="eastAsia"/>
          <w:color w:val="333333"/>
        </w:rPr>
        <w:t xml:space="preserve">    </w:t>
      </w:r>
      <w:r w:rsidRPr="001908AB">
        <w:rPr>
          <w:rFonts w:ascii="Arial" w:hAnsi="Arial" w:cs="Arial"/>
          <w:color w:val="333333"/>
        </w:rPr>
        <w:t>因公司法实施前有关民事行为或者事件发生纠纷起诉到人民法院的，如当时的法律法规和司法解释没有明确规定时，可参照适用公司法的有关规定。</w:t>
      </w:r>
    </w:p>
    <w:p w14:paraId="46534622" w14:textId="2F82DC66" w:rsidR="001908AB" w:rsidRDefault="001908AB" w:rsidP="001908AB">
      <w:pPr>
        <w:pStyle w:val="a7"/>
        <w:spacing w:beforeLines="50" w:before="156" w:beforeAutospacing="0" w:after="0" w:afterAutospacing="0" w:line="360" w:lineRule="auto"/>
        <w:ind w:firstLine="480"/>
        <w:rPr>
          <w:rFonts w:ascii="Arial" w:hAnsi="Arial" w:cs="Arial"/>
          <w:color w:val="333333"/>
        </w:rPr>
      </w:pPr>
      <w:r w:rsidRPr="0037361B">
        <w:rPr>
          <w:rFonts w:ascii="Arial" w:hAnsi="Arial" w:cs="Arial"/>
          <w:b/>
          <w:color w:val="333333"/>
        </w:rPr>
        <w:t>第三条</w:t>
      </w:r>
      <w:r w:rsidR="0037361B">
        <w:rPr>
          <w:rFonts w:ascii="Arial" w:hAnsi="Arial" w:cs="Arial" w:hint="eastAsia"/>
          <w:color w:val="333333"/>
        </w:rPr>
        <w:t xml:space="preserve">    </w:t>
      </w:r>
      <w:r w:rsidRPr="001908AB">
        <w:rPr>
          <w:rFonts w:ascii="Arial" w:hAnsi="Arial" w:cs="Arial"/>
          <w:color w:val="333333"/>
        </w:rPr>
        <w:t>原告以公司法</w:t>
      </w:r>
      <w:commentRangeStart w:id="0"/>
      <w:r w:rsidRPr="001908AB">
        <w:rPr>
          <w:rFonts w:ascii="Arial" w:hAnsi="Arial" w:cs="Arial"/>
          <w:color w:val="333333"/>
        </w:rPr>
        <w:t>第二十二条第二款</w:t>
      </w:r>
      <w:commentRangeEnd w:id="0"/>
      <w:r w:rsidR="00013CCF">
        <w:rPr>
          <w:rStyle w:val="a9"/>
          <w:rFonts w:asciiTheme="minorHAnsi" w:eastAsiaTheme="minorEastAsia" w:hAnsiTheme="minorHAnsi" w:cstheme="minorBidi"/>
          <w:kern w:val="2"/>
        </w:rPr>
        <w:commentReference w:id="0"/>
      </w:r>
      <w:r w:rsidRPr="001908AB">
        <w:rPr>
          <w:rFonts w:ascii="Arial" w:hAnsi="Arial" w:cs="Arial"/>
          <w:color w:val="333333"/>
        </w:rPr>
        <w:t>、</w:t>
      </w:r>
      <w:commentRangeStart w:id="1"/>
      <w:r w:rsidRPr="001908AB">
        <w:rPr>
          <w:rFonts w:ascii="Arial" w:hAnsi="Arial" w:cs="Arial"/>
          <w:color w:val="333333"/>
        </w:rPr>
        <w:t>第七十四条第二款</w:t>
      </w:r>
      <w:commentRangeEnd w:id="1"/>
      <w:r w:rsidR="00A66A8A">
        <w:rPr>
          <w:rStyle w:val="a9"/>
          <w:rFonts w:asciiTheme="minorHAnsi" w:eastAsiaTheme="minorEastAsia" w:hAnsiTheme="minorHAnsi" w:cstheme="minorBidi"/>
          <w:kern w:val="2"/>
        </w:rPr>
        <w:commentReference w:id="1"/>
      </w:r>
      <w:r w:rsidRPr="001908AB">
        <w:rPr>
          <w:rFonts w:ascii="Arial" w:hAnsi="Arial" w:cs="Arial"/>
          <w:color w:val="333333"/>
        </w:rPr>
        <w:t>规定事由，向人民法院提起</w:t>
      </w:r>
      <w:hyperlink r:id="rId13" w:tgtFrame="_blank" w:tooltip="诉讼" w:history="1">
        <w:r w:rsidRPr="001908AB">
          <w:rPr>
            <w:color w:val="333333"/>
          </w:rPr>
          <w:t>诉讼</w:t>
        </w:r>
      </w:hyperlink>
      <w:r w:rsidRPr="001908AB">
        <w:rPr>
          <w:rFonts w:ascii="Arial" w:hAnsi="Arial" w:cs="Arial"/>
          <w:color w:val="333333"/>
        </w:rPr>
        <w:t>时，超过公司法规定期限的，人民法院不予受理。</w:t>
      </w:r>
    </w:p>
    <w:p w14:paraId="4A4DFA10" w14:textId="33AFA6A6" w:rsidR="00455E6D" w:rsidRPr="001908AB" w:rsidRDefault="00455E6D" w:rsidP="001908AB">
      <w:pPr>
        <w:pStyle w:val="a7"/>
        <w:spacing w:beforeLines="50" w:before="156" w:beforeAutospacing="0" w:after="0" w:afterAutospacing="0" w:line="360" w:lineRule="auto"/>
        <w:ind w:firstLine="480"/>
        <w:rPr>
          <w:rFonts w:ascii="Arial" w:hAnsi="Arial" w:cs="Arial" w:hint="eastAsia"/>
          <w:color w:val="333333"/>
        </w:rPr>
      </w:pPr>
      <w:r>
        <w:rPr>
          <w:rFonts w:ascii="Arial" w:hAnsi="Arial" w:cs="Arial" w:hint="eastAsia"/>
          <w:color w:val="333333"/>
        </w:rPr>
        <w:t>[</w:t>
      </w:r>
      <w:r w:rsidRPr="00455E6D">
        <w:rPr>
          <w:rFonts w:ascii="Arial" w:hAnsi="Arial" w:cs="Arial" w:hint="eastAsia"/>
          <w:i/>
          <w:iCs/>
          <w:color w:val="333333"/>
        </w:rPr>
        <w:t>笔记：股东决议撤销之诉（决议之日六十日）、股权回购之诉（决议之日九十日），超过法定期限，咋办？——法院不受理</w:t>
      </w:r>
      <w:r>
        <w:rPr>
          <w:rFonts w:ascii="Arial" w:hAnsi="Arial" w:cs="Arial" w:hint="eastAsia"/>
          <w:color w:val="333333"/>
        </w:rPr>
        <w:t>]</w:t>
      </w:r>
    </w:p>
    <w:p w14:paraId="03B65F98" w14:textId="69E3FEAD" w:rsidR="001908AB" w:rsidRDefault="001908AB" w:rsidP="001908AB">
      <w:pPr>
        <w:pStyle w:val="a7"/>
        <w:spacing w:beforeLines="50" w:before="156" w:beforeAutospacing="0" w:after="0" w:afterAutospacing="0" w:line="360" w:lineRule="auto"/>
        <w:ind w:firstLine="480"/>
        <w:rPr>
          <w:rFonts w:ascii="Arial" w:hAnsi="Arial" w:cs="Arial"/>
          <w:color w:val="333333"/>
        </w:rPr>
      </w:pPr>
      <w:r w:rsidRPr="0037361B">
        <w:rPr>
          <w:rFonts w:ascii="Arial" w:hAnsi="Arial" w:cs="Arial"/>
          <w:b/>
          <w:color w:val="333333"/>
        </w:rPr>
        <w:lastRenderedPageBreak/>
        <w:t>第四条</w:t>
      </w:r>
      <w:r w:rsidR="0037361B">
        <w:rPr>
          <w:rFonts w:ascii="Arial" w:hAnsi="Arial" w:cs="Arial" w:hint="eastAsia"/>
          <w:color w:val="333333"/>
        </w:rPr>
        <w:t xml:space="preserve">    </w:t>
      </w:r>
      <w:r w:rsidRPr="001908AB">
        <w:rPr>
          <w:rFonts w:ascii="Arial" w:hAnsi="Arial" w:cs="Arial"/>
          <w:color w:val="333333"/>
        </w:rPr>
        <w:t>公司法</w:t>
      </w:r>
      <w:commentRangeStart w:id="2"/>
      <w:r w:rsidRPr="001908AB">
        <w:rPr>
          <w:rFonts w:ascii="Arial" w:hAnsi="Arial" w:cs="Arial"/>
          <w:color w:val="333333"/>
        </w:rPr>
        <w:t>第一百五十一条</w:t>
      </w:r>
      <w:commentRangeEnd w:id="2"/>
      <w:r w:rsidR="00B91C8E">
        <w:rPr>
          <w:rStyle w:val="a9"/>
          <w:rFonts w:asciiTheme="minorHAnsi" w:eastAsiaTheme="minorEastAsia" w:hAnsiTheme="minorHAnsi" w:cstheme="minorBidi"/>
          <w:kern w:val="2"/>
        </w:rPr>
        <w:commentReference w:id="2"/>
      </w:r>
      <w:r w:rsidRPr="001908AB">
        <w:rPr>
          <w:rFonts w:ascii="Arial" w:hAnsi="Arial" w:cs="Arial"/>
          <w:color w:val="333333"/>
        </w:rPr>
        <w:t>规定的</w:t>
      </w:r>
      <w:r w:rsidRPr="001908AB">
        <w:rPr>
          <w:rFonts w:ascii="Arial" w:hAnsi="Arial" w:cs="Arial"/>
          <w:color w:val="333333"/>
        </w:rPr>
        <w:t>180</w:t>
      </w:r>
      <w:r w:rsidRPr="001908AB">
        <w:rPr>
          <w:rFonts w:ascii="Arial" w:hAnsi="Arial" w:cs="Arial"/>
          <w:color w:val="333333"/>
        </w:rPr>
        <w:t>日以上连续持股期间，应为股东向人民法院提起诉讼时，已期满的持股时间</w:t>
      </w:r>
      <w:r w:rsidR="00E100D7">
        <w:rPr>
          <w:rFonts w:ascii="Arial" w:hAnsi="Arial" w:cs="Arial" w:hint="eastAsia"/>
          <w:color w:val="333333"/>
        </w:rPr>
        <w:t>；</w:t>
      </w:r>
      <w:r w:rsidRPr="001908AB">
        <w:rPr>
          <w:rFonts w:ascii="Arial" w:hAnsi="Arial" w:cs="Arial"/>
          <w:color w:val="333333"/>
        </w:rPr>
        <w:t>规定的合计持有公司百分之一以上股份，是指两个以上股东持股份额的合计。</w:t>
      </w:r>
    </w:p>
    <w:p w14:paraId="6AAE2868" w14:textId="65099E18" w:rsidR="00937502" w:rsidRPr="001908AB" w:rsidRDefault="00937502" w:rsidP="001908AB">
      <w:pPr>
        <w:pStyle w:val="a7"/>
        <w:spacing w:beforeLines="50" w:before="156" w:beforeAutospacing="0" w:after="0" w:afterAutospacing="0" w:line="360" w:lineRule="auto"/>
        <w:ind w:firstLine="480"/>
        <w:rPr>
          <w:rFonts w:ascii="Arial" w:hAnsi="Arial" w:cs="Arial" w:hint="eastAsia"/>
          <w:color w:val="333333"/>
        </w:rPr>
      </w:pPr>
      <w:r>
        <w:rPr>
          <w:rFonts w:ascii="Arial" w:hAnsi="Arial" w:cs="Arial" w:hint="eastAsia"/>
          <w:color w:val="333333"/>
        </w:rPr>
        <w:t>[</w:t>
      </w:r>
      <w:r w:rsidRPr="00937502">
        <w:rPr>
          <w:rFonts w:ascii="Arial" w:hAnsi="Arial" w:cs="Arial" w:hint="eastAsia"/>
          <w:i/>
          <w:iCs/>
          <w:color w:val="333333"/>
        </w:rPr>
        <w:t>笔记：</w:t>
      </w:r>
      <w:r w:rsidRPr="00937502">
        <w:rPr>
          <w:rFonts w:ascii="Arial" w:hAnsi="Arial" w:cs="Arial" w:hint="eastAsia"/>
          <w:i/>
          <w:iCs/>
          <w:color w:val="333333"/>
        </w:rPr>
        <w:t>1</w:t>
      </w:r>
      <w:r w:rsidRPr="00937502">
        <w:rPr>
          <w:rFonts w:ascii="Arial" w:hAnsi="Arial" w:cs="Arial"/>
          <w:i/>
          <w:iCs/>
          <w:color w:val="333333"/>
        </w:rPr>
        <w:t>80</w:t>
      </w:r>
      <w:r w:rsidRPr="00937502">
        <w:rPr>
          <w:rFonts w:ascii="Arial" w:hAnsi="Arial" w:cs="Arial" w:hint="eastAsia"/>
          <w:i/>
          <w:iCs/>
          <w:color w:val="333333"/>
        </w:rPr>
        <w:t>日以上连续持股期间，计算的截止期，是什么？——起诉时</w:t>
      </w:r>
      <w:r>
        <w:rPr>
          <w:rFonts w:ascii="Arial" w:hAnsi="Arial" w:cs="Arial" w:hint="eastAsia"/>
          <w:color w:val="333333"/>
        </w:rPr>
        <w:t>]</w:t>
      </w:r>
    </w:p>
    <w:p w14:paraId="067E0A83" w14:textId="77777777" w:rsidR="001908AB" w:rsidRPr="001908AB" w:rsidRDefault="001908AB" w:rsidP="001908AB">
      <w:pPr>
        <w:pStyle w:val="a7"/>
        <w:spacing w:beforeLines="50" w:before="156" w:beforeAutospacing="0" w:after="0" w:afterAutospacing="0" w:line="360" w:lineRule="auto"/>
        <w:ind w:firstLine="480"/>
        <w:rPr>
          <w:rFonts w:ascii="Arial" w:hAnsi="Arial" w:cs="Arial"/>
          <w:color w:val="333333"/>
        </w:rPr>
      </w:pPr>
      <w:r w:rsidRPr="00B91C8E">
        <w:rPr>
          <w:rFonts w:ascii="Arial" w:hAnsi="Arial" w:cs="Arial"/>
          <w:b/>
          <w:color w:val="333333"/>
        </w:rPr>
        <w:t>第五条</w:t>
      </w:r>
      <w:r w:rsidR="00B91C8E">
        <w:rPr>
          <w:rFonts w:ascii="Arial" w:hAnsi="Arial" w:cs="Arial" w:hint="eastAsia"/>
          <w:color w:val="333333"/>
        </w:rPr>
        <w:t xml:space="preserve">    </w:t>
      </w:r>
      <w:r w:rsidRPr="001908AB">
        <w:rPr>
          <w:rFonts w:ascii="Arial" w:hAnsi="Arial" w:cs="Arial"/>
          <w:color w:val="333333"/>
        </w:rPr>
        <w:t>人民法院对公司法实施前已经终审的案件依法进行再审时，不适用公司法的规定。</w:t>
      </w:r>
    </w:p>
    <w:p w14:paraId="2C65F139" w14:textId="77777777" w:rsidR="001908AB" w:rsidRPr="001908AB" w:rsidRDefault="001908AB" w:rsidP="00B91C8E">
      <w:pPr>
        <w:pStyle w:val="a7"/>
        <w:spacing w:beforeLines="50" w:before="156" w:beforeAutospacing="0" w:after="0" w:afterAutospacing="0" w:line="360" w:lineRule="auto"/>
        <w:ind w:firstLine="480"/>
      </w:pPr>
      <w:r w:rsidRPr="00B91C8E">
        <w:rPr>
          <w:rFonts w:ascii="Arial" w:hAnsi="Arial" w:cs="Arial"/>
          <w:b/>
          <w:color w:val="333333"/>
        </w:rPr>
        <w:t>第六条</w:t>
      </w:r>
      <w:r w:rsidR="00B91C8E">
        <w:rPr>
          <w:rFonts w:ascii="Arial" w:hAnsi="Arial" w:cs="Arial" w:hint="eastAsia"/>
          <w:color w:val="333333"/>
        </w:rPr>
        <w:t xml:space="preserve">    </w:t>
      </w:r>
      <w:r w:rsidRPr="001908AB">
        <w:rPr>
          <w:rFonts w:ascii="Arial" w:hAnsi="Arial" w:cs="Arial"/>
          <w:color w:val="333333"/>
        </w:rPr>
        <w:t>本规定自公布之日起实施。</w:t>
      </w:r>
    </w:p>
    <w:sectPr w:rsidR="001908AB" w:rsidRPr="001908AB">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OS" w:date="2021-04-24T09:06:00Z" w:initials="O">
    <w:p w14:paraId="5DE3E2EF" w14:textId="6334387F" w:rsidR="00013CCF" w:rsidRPr="00A66A8A" w:rsidRDefault="00013CCF" w:rsidP="00A66A8A">
      <w:pPr>
        <w:spacing w:beforeLines="50" w:before="156" w:line="360" w:lineRule="auto"/>
        <w:ind w:firstLineChars="200" w:firstLine="420"/>
        <w:rPr>
          <w:rFonts w:asciiTheme="minorEastAsia" w:hAnsiTheme="minorEastAsia"/>
          <w:sz w:val="24"/>
          <w:szCs w:val="24"/>
        </w:rPr>
      </w:pPr>
      <w:r>
        <w:rPr>
          <w:rStyle w:val="a9"/>
        </w:rPr>
        <w:annotationRef/>
      </w:r>
      <w:hyperlink r:id="rId1" w:history="1">
        <w:r w:rsidR="00455E6D" w:rsidRPr="00455E6D">
          <w:rPr>
            <w:rStyle w:val="a8"/>
            <w:rFonts w:asciiTheme="minorEastAsia" w:hAnsiTheme="minorEastAsia" w:hint="eastAsia"/>
            <w:sz w:val="24"/>
            <w:szCs w:val="24"/>
          </w:rPr>
          <w:t>第二十二条第二款</w:t>
        </w:r>
      </w:hyperlink>
      <w:r w:rsidR="00455E6D">
        <w:rPr>
          <w:rFonts w:asciiTheme="minorEastAsia" w:hAnsiTheme="minorEastAsia" w:hint="eastAsia"/>
          <w:sz w:val="24"/>
          <w:szCs w:val="24"/>
        </w:rPr>
        <w:t xml:space="preserve"> </w:t>
      </w:r>
      <w:r w:rsidR="00455E6D">
        <w:rPr>
          <w:rFonts w:asciiTheme="minorEastAsia" w:hAnsiTheme="minorEastAsia"/>
          <w:sz w:val="24"/>
          <w:szCs w:val="24"/>
        </w:rPr>
        <w:t xml:space="preserve"> </w:t>
      </w:r>
      <w:r w:rsidRPr="00630FA2">
        <w:rPr>
          <w:rFonts w:asciiTheme="minorEastAsia" w:hAnsiTheme="minorEastAsia" w:hint="eastAsia"/>
          <w:sz w:val="24"/>
          <w:szCs w:val="24"/>
        </w:rPr>
        <w:t>股东会或者股东大会、董事会的会议召集程序、表决方式违反法律、行政法规或者公司章程，或者决议内容违反公司章程的，股东可以自决议作出之日起六十日内，请求人民法院撤销。</w:t>
      </w:r>
    </w:p>
  </w:comment>
  <w:comment w:id="1" w:author="OS" w:date="2021-04-24T09:06:00Z" w:initials="O">
    <w:p w14:paraId="0A85D2C1" w14:textId="5B24D817" w:rsidR="00A66A8A" w:rsidRPr="00630FA2" w:rsidRDefault="00A66A8A" w:rsidP="00A66A8A">
      <w:pPr>
        <w:spacing w:beforeLines="50" w:before="156" w:line="360" w:lineRule="auto"/>
        <w:ind w:firstLineChars="200" w:firstLine="420"/>
        <w:rPr>
          <w:rFonts w:asciiTheme="minorEastAsia" w:hAnsiTheme="minorEastAsia"/>
          <w:sz w:val="24"/>
          <w:szCs w:val="24"/>
        </w:rPr>
      </w:pPr>
      <w:r>
        <w:rPr>
          <w:rStyle w:val="a9"/>
        </w:rPr>
        <w:annotationRef/>
      </w:r>
      <w:hyperlink r:id="rId2" w:history="1">
        <w:r w:rsidR="00455E6D" w:rsidRPr="00455E6D">
          <w:rPr>
            <w:rStyle w:val="a8"/>
            <w:rFonts w:asciiTheme="minorEastAsia" w:hAnsiTheme="minorEastAsia" w:hint="eastAsia"/>
            <w:sz w:val="24"/>
            <w:szCs w:val="24"/>
          </w:rPr>
          <w:t>第七十四条第二款</w:t>
        </w:r>
      </w:hyperlink>
      <w:r w:rsidR="00455E6D">
        <w:rPr>
          <w:rFonts w:asciiTheme="minorEastAsia" w:hAnsiTheme="minorEastAsia" w:hint="eastAsia"/>
          <w:sz w:val="24"/>
          <w:szCs w:val="24"/>
        </w:rPr>
        <w:t xml:space="preserve"> </w:t>
      </w:r>
      <w:r w:rsidR="00455E6D">
        <w:rPr>
          <w:rFonts w:asciiTheme="minorEastAsia" w:hAnsiTheme="minorEastAsia"/>
          <w:sz w:val="24"/>
          <w:szCs w:val="24"/>
        </w:rPr>
        <w:t xml:space="preserve"> </w:t>
      </w:r>
      <w:r w:rsidRPr="00630FA2">
        <w:rPr>
          <w:rFonts w:asciiTheme="minorEastAsia" w:hAnsiTheme="minorEastAsia" w:hint="eastAsia"/>
          <w:sz w:val="24"/>
          <w:szCs w:val="24"/>
        </w:rPr>
        <w:t>自股东会会议决议通过之日起六十日内，股东与公司不能达成股权收购协议的，股东可以自股东会会议决议通过之日起九十日内向人民法院提起诉讼。</w:t>
      </w:r>
    </w:p>
    <w:p w14:paraId="4AF2E71E" w14:textId="77777777" w:rsidR="00A66A8A" w:rsidRDefault="00A66A8A">
      <w:pPr>
        <w:pStyle w:val="aa"/>
      </w:pPr>
    </w:p>
  </w:comment>
  <w:comment w:id="2" w:author="OS" w:date="2021-04-24T09:08:00Z" w:initials="O">
    <w:p w14:paraId="63993BCB" w14:textId="6367F316" w:rsidR="00B91C8E" w:rsidRPr="00630FA2" w:rsidRDefault="00B91C8E" w:rsidP="00B91C8E">
      <w:pPr>
        <w:spacing w:beforeLines="50" w:before="156" w:line="360" w:lineRule="auto"/>
        <w:ind w:firstLineChars="200" w:firstLine="420"/>
        <w:rPr>
          <w:rFonts w:asciiTheme="minorEastAsia" w:hAnsiTheme="minorEastAsia"/>
          <w:sz w:val="24"/>
          <w:szCs w:val="24"/>
        </w:rPr>
      </w:pPr>
      <w:r>
        <w:rPr>
          <w:rStyle w:val="a9"/>
        </w:rPr>
        <w:annotationRef/>
      </w:r>
      <w:hyperlink r:id="rId3" w:history="1">
        <w:r w:rsidRPr="00455E6D">
          <w:rPr>
            <w:rStyle w:val="a8"/>
            <w:rFonts w:asciiTheme="minorEastAsia" w:hAnsiTheme="minorEastAsia" w:hint="eastAsia"/>
            <w:sz w:val="24"/>
            <w:szCs w:val="24"/>
          </w:rPr>
          <w:t>第一百五十一条</w:t>
        </w:r>
      </w:hyperlink>
      <w:r w:rsidRPr="00630FA2">
        <w:rPr>
          <w:rFonts w:asciiTheme="minorEastAsia" w:hAnsiTheme="minorEastAsia" w:hint="eastAsia"/>
          <w:sz w:val="24"/>
          <w:szCs w:val="24"/>
        </w:rPr>
        <w:t xml:space="preserve">　董事、高级管理人员有本法第一百四十九条规定的情形的，有限责任公司的股东、股份有限公司连续一百八十日以上单独或者合计持有公司百分之一以上股份的股东，可以书面请求监事会或者不设监事会的有限责任公司的监事向人民法院提起诉讼；监事有本法第一百四十九条规定的情形的，前述股东可以书面请求董事会或者不设董事会的有限责任公司的执行董事向人民法院提起诉讼。</w:t>
      </w:r>
    </w:p>
    <w:p w14:paraId="0897C90B" w14:textId="77777777" w:rsidR="00B91C8E" w:rsidRPr="00630FA2" w:rsidRDefault="00B91C8E" w:rsidP="00B91C8E">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监事会、不设监事会的有限责任公司的监事，或者董事会、执行董事收到前款规定的股东书面请求后拒绝提起诉讼，或者自收到请求之日起三十日内未提起诉讼，或者情况紧急、不立即提起诉讼将会使公司利益受到难以弥补的损害的，前款规定的股东有权为了公司的利益以自己的名义直接向人民法院提起诉讼。</w:t>
      </w:r>
    </w:p>
    <w:p w14:paraId="42086CDC" w14:textId="77777777" w:rsidR="00B91C8E" w:rsidRPr="00630FA2" w:rsidRDefault="00B91C8E" w:rsidP="00B91C8E">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他人侵犯公司合法权益，给公司造成损失的，本条第一款规定的股东可以依照前两款的规定向人民法院提起诉讼。</w:t>
      </w:r>
    </w:p>
    <w:p w14:paraId="584500CC" w14:textId="77777777" w:rsidR="00B91C8E" w:rsidRDefault="00B91C8E">
      <w:pPr>
        <w:pStyle w:val="aa"/>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E3E2EF" w15:done="0"/>
  <w15:commentEx w15:paraId="4AF2E71E" w15:done="0"/>
  <w15:commentEx w15:paraId="584500C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E3E2EF" w16cid:durableId="24B42AE3"/>
  <w16cid:commentId w16cid:paraId="4AF2E71E" w16cid:durableId="24B42AE4"/>
  <w16cid:commentId w16cid:paraId="584500CC" w16cid:durableId="24B42A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C1071" w14:textId="77777777" w:rsidR="00056E73" w:rsidRDefault="00056E73" w:rsidP="001908AB">
      <w:r>
        <w:separator/>
      </w:r>
    </w:p>
  </w:endnote>
  <w:endnote w:type="continuationSeparator" w:id="0">
    <w:p w14:paraId="41F21A94" w14:textId="77777777" w:rsidR="00056E73" w:rsidRDefault="00056E73" w:rsidP="00190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AF75E" w14:textId="77777777" w:rsidR="00056E73" w:rsidRDefault="00056E73" w:rsidP="001908AB">
      <w:r>
        <w:separator/>
      </w:r>
    </w:p>
  </w:footnote>
  <w:footnote w:type="continuationSeparator" w:id="0">
    <w:p w14:paraId="7496987B" w14:textId="77777777" w:rsidR="00056E73" w:rsidRDefault="00056E73" w:rsidP="001908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3253"/>
    <w:rsid w:val="00013CCF"/>
    <w:rsid w:val="00056E73"/>
    <w:rsid w:val="000B3253"/>
    <w:rsid w:val="00175A92"/>
    <w:rsid w:val="001908AB"/>
    <w:rsid w:val="001F4BB6"/>
    <w:rsid w:val="002B0A36"/>
    <w:rsid w:val="0037361B"/>
    <w:rsid w:val="00455E6D"/>
    <w:rsid w:val="00533A24"/>
    <w:rsid w:val="008B4D9F"/>
    <w:rsid w:val="00937502"/>
    <w:rsid w:val="00A66A8A"/>
    <w:rsid w:val="00B37F71"/>
    <w:rsid w:val="00B91C8E"/>
    <w:rsid w:val="00D87164"/>
    <w:rsid w:val="00E100D7"/>
    <w:rsid w:val="00EB60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6BDB7B"/>
  <w15:docId w15:val="{F12F1D06-12F4-49DE-B14C-21EC864E1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8A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908AB"/>
    <w:rPr>
      <w:sz w:val="18"/>
      <w:szCs w:val="18"/>
    </w:rPr>
  </w:style>
  <w:style w:type="paragraph" w:styleId="a5">
    <w:name w:val="footer"/>
    <w:basedOn w:val="a"/>
    <w:link w:val="a6"/>
    <w:uiPriority w:val="99"/>
    <w:unhideWhenUsed/>
    <w:rsid w:val="001908AB"/>
    <w:pPr>
      <w:tabs>
        <w:tab w:val="center" w:pos="4153"/>
        <w:tab w:val="right" w:pos="8306"/>
      </w:tabs>
      <w:snapToGrid w:val="0"/>
      <w:jc w:val="left"/>
    </w:pPr>
    <w:rPr>
      <w:sz w:val="18"/>
      <w:szCs w:val="18"/>
    </w:rPr>
  </w:style>
  <w:style w:type="character" w:customStyle="1" w:styleId="a6">
    <w:name w:val="页脚 字符"/>
    <w:basedOn w:val="a0"/>
    <w:link w:val="a5"/>
    <w:uiPriority w:val="99"/>
    <w:rsid w:val="001908AB"/>
    <w:rPr>
      <w:sz w:val="18"/>
      <w:szCs w:val="18"/>
    </w:rPr>
  </w:style>
  <w:style w:type="paragraph" w:styleId="a7">
    <w:name w:val="Normal (Web)"/>
    <w:basedOn w:val="a"/>
    <w:uiPriority w:val="99"/>
    <w:unhideWhenUsed/>
    <w:rsid w:val="001908AB"/>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unhideWhenUsed/>
    <w:rsid w:val="001908AB"/>
    <w:rPr>
      <w:color w:val="0000FF"/>
      <w:u w:val="single"/>
    </w:rPr>
  </w:style>
  <w:style w:type="character" w:styleId="a9">
    <w:name w:val="annotation reference"/>
    <w:basedOn w:val="a0"/>
    <w:uiPriority w:val="99"/>
    <w:semiHidden/>
    <w:unhideWhenUsed/>
    <w:rsid w:val="00013CCF"/>
    <w:rPr>
      <w:sz w:val="21"/>
      <w:szCs w:val="21"/>
    </w:rPr>
  </w:style>
  <w:style w:type="paragraph" w:styleId="aa">
    <w:name w:val="annotation text"/>
    <w:basedOn w:val="a"/>
    <w:link w:val="ab"/>
    <w:uiPriority w:val="99"/>
    <w:semiHidden/>
    <w:unhideWhenUsed/>
    <w:rsid w:val="00013CCF"/>
    <w:pPr>
      <w:jc w:val="left"/>
    </w:pPr>
  </w:style>
  <w:style w:type="character" w:customStyle="1" w:styleId="ab">
    <w:name w:val="批注文字 字符"/>
    <w:basedOn w:val="a0"/>
    <w:link w:val="aa"/>
    <w:uiPriority w:val="99"/>
    <w:semiHidden/>
    <w:rsid w:val="00013CCF"/>
  </w:style>
  <w:style w:type="paragraph" w:styleId="ac">
    <w:name w:val="annotation subject"/>
    <w:basedOn w:val="aa"/>
    <w:next w:val="aa"/>
    <w:link w:val="ad"/>
    <w:uiPriority w:val="99"/>
    <w:semiHidden/>
    <w:unhideWhenUsed/>
    <w:rsid w:val="00013CCF"/>
    <w:rPr>
      <w:b/>
      <w:bCs/>
    </w:rPr>
  </w:style>
  <w:style w:type="character" w:customStyle="1" w:styleId="ad">
    <w:name w:val="批注主题 字符"/>
    <w:basedOn w:val="ab"/>
    <w:link w:val="ac"/>
    <w:uiPriority w:val="99"/>
    <w:semiHidden/>
    <w:rsid w:val="00013CCF"/>
    <w:rPr>
      <w:b/>
      <w:bCs/>
    </w:rPr>
  </w:style>
  <w:style w:type="paragraph" w:styleId="ae">
    <w:name w:val="Balloon Text"/>
    <w:basedOn w:val="a"/>
    <w:link w:val="af"/>
    <w:uiPriority w:val="99"/>
    <w:semiHidden/>
    <w:unhideWhenUsed/>
    <w:rsid w:val="00013CCF"/>
    <w:rPr>
      <w:sz w:val="18"/>
      <w:szCs w:val="18"/>
    </w:rPr>
  </w:style>
  <w:style w:type="character" w:customStyle="1" w:styleId="af">
    <w:name w:val="批注框文本 字符"/>
    <w:basedOn w:val="a0"/>
    <w:link w:val="ae"/>
    <w:uiPriority w:val="99"/>
    <w:semiHidden/>
    <w:rsid w:val="00013CCF"/>
    <w:rPr>
      <w:sz w:val="18"/>
      <w:szCs w:val="18"/>
    </w:rPr>
  </w:style>
  <w:style w:type="character" w:styleId="af0">
    <w:name w:val="Unresolved Mention"/>
    <w:basedOn w:val="a0"/>
    <w:uiPriority w:val="99"/>
    <w:semiHidden/>
    <w:unhideWhenUsed/>
    <w:rsid w:val="00455E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294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sfb86.com/index/News/detail/newsid/9130.html" TargetMode="External"/><Relationship Id="rId2" Type="http://schemas.openxmlformats.org/officeDocument/2006/relationships/hyperlink" Target="http://ssfb86.com/index/News/detail/newsid/9130.html" TargetMode="External"/><Relationship Id="rId1" Type="http://schemas.openxmlformats.org/officeDocument/2006/relationships/hyperlink" Target="http://ssfb86.com/index/News/detail/newsid/9130.html"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www.64365.com/baike/msjf/" TargetMode="External"/><Relationship Id="rId13" Type="http://schemas.openxmlformats.org/officeDocument/2006/relationships/hyperlink" Target="http://www.64365.com/baike/ss/" TargetMode="External"/><Relationship Id="rId3" Type="http://schemas.openxmlformats.org/officeDocument/2006/relationships/webSettings" Target="webSettings.xml"/><Relationship Id="rId7" Type="http://schemas.openxmlformats.org/officeDocument/2006/relationships/hyperlink" Target="http://ssfb86.com/index/News/detail/newsid/8882.html" TargetMode="External"/><Relationship Id="rId12" Type="http://schemas.microsoft.com/office/2016/09/relationships/commentsIds" Target="commentsId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64365.com/baike/gsf/" TargetMode="External"/><Relationship Id="rId11" Type="http://schemas.microsoft.com/office/2011/relationships/commentsExtended" Target="commentsExtended.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footnotes" Target="footnotes.xml"/><Relationship Id="rId9" Type="http://schemas.openxmlformats.org/officeDocument/2006/relationships/hyperlink" Target="http://www.64365.com/fagui/"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Pages>
  <Words>167</Words>
  <Characters>957</Characters>
  <Application>Microsoft Office Word</Application>
  <DocSecurity>0</DocSecurity>
  <Lines>7</Lines>
  <Paragraphs>2</Paragraphs>
  <ScaleCrop>false</ScaleCrop>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dc:creator>
  <cp:keywords/>
  <dc:description/>
  <cp:lastModifiedBy>Windows 用户</cp:lastModifiedBy>
  <cp:revision>10</cp:revision>
  <dcterms:created xsi:type="dcterms:W3CDTF">2021-04-24T00:11:00Z</dcterms:created>
  <dcterms:modified xsi:type="dcterms:W3CDTF">2021-08-03T13:08:00Z</dcterms:modified>
</cp:coreProperties>
</file>