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tabs>
          <w:tab w:val="clear" w:pos="4678"/>
          <w:tab w:val="center" w:pos="6520"/>
        </w:tabs>
        <w:jc w:val="both"/>
      </w:pPr>
      <w:bookmarkStart w:id="0" w:name="_Toc393480213"/>
      <w:bookmarkStart w:id="1" w:name="_Toc54267912"/>
      <w:r>
        <w:rPr>
          <w:rFonts w:hint="eastAsia"/>
        </w:rPr>
        <w:t>A105070</w:t>
      </w:r>
      <w:r>
        <w:rPr>
          <w:rFonts w:hint="eastAsia"/>
        </w:rPr>
        <w:tab/>
        <w:t>捐赠支出及纳税调整明细表</w:t>
      </w:r>
      <w:bookmarkEnd w:id="1"/>
    </w:p>
    <w:tbl>
      <w:tblPr>
        <w:tblpPr w:leftFromText="180" w:rightFromText="180" w:vertAnchor="text" w:horzAnchor="page" w:tblpX="1643" w:tblpY="110"/>
        <w:tblOverlap w:val="neve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0"/>
        <w:gridCol w:w="4485"/>
        <w:gridCol w:w="1208"/>
        <w:gridCol w:w="1208"/>
        <w:gridCol w:w="1208"/>
        <w:gridCol w:w="1208"/>
        <w:gridCol w:w="1208"/>
        <w:gridCol w:w="1208"/>
        <w:gridCol w:w="1212"/>
      </w:tblGrid>
      <w:tr w:rsidR="00CF107A">
        <w:trPr>
          <w:trHeight w:val="769"/>
        </w:trPr>
        <w:tc>
          <w:tcPr>
            <w:tcW w:w="1200" w:type="dxa"/>
            <w:vMerge w:val="restart"/>
            <w:tcBorders>
              <w:top w:val="single" w:sz="12"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行次</w:t>
            </w:r>
          </w:p>
        </w:tc>
        <w:tc>
          <w:tcPr>
            <w:tcW w:w="4485" w:type="dxa"/>
            <w:vMerge w:val="restart"/>
            <w:tcBorders>
              <w:top w:val="single" w:sz="12" w:space="0" w:color="auto"/>
              <w:left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项目</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账载金额</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以前年度结转可扣除的捐赠额</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按税收规定计算的扣除限额</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税收金额</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纳税调增金额</w:t>
            </w:r>
          </w:p>
        </w:tc>
        <w:tc>
          <w:tcPr>
            <w:tcW w:w="1208" w:type="dxa"/>
            <w:tcBorders>
              <w:top w:val="single" w:sz="12"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纳税调减金额</w:t>
            </w:r>
          </w:p>
        </w:tc>
        <w:tc>
          <w:tcPr>
            <w:tcW w:w="1212" w:type="dxa"/>
            <w:tcBorders>
              <w:top w:val="single" w:sz="12"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可结转以后年度扣除的捐赠额</w:t>
            </w:r>
          </w:p>
        </w:tc>
      </w:tr>
      <w:tr w:rsidR="00CF107A">
        <w:trPr>
          <w:trHeight w:val="315"/>
        </w:trPr>
        <w:tc>
          <w:tcPr>
            <w:tcW w:w="1200" w:type="dxa"/>
            <w:vMerge/>
            <w:tcBorders>
              <w:top w:val="single" w:sz="6" w:space="0" w:color="auto"/>
              <w:left w:val="single" w:sz="12" w:space="0" w:color="auto"/>
              <w:bottom w:val="single" w:sz="6" w:space="0" w:color="auto"/>
              <w:right w:val="single" w:sz="6" w:space="0" w:color="auto"/>
            </w:tcBorders>
            <w:noWrap/>
            <w:vAlign w:val="center"/>
          </w:tcPr>
          <w:p w:rsidR="00CF107A" w:rsidRDefault="00CF107A">
            <w:pPr>
              <w:widowControl/>
              <w:jc w:val="left"/>
              <w:rPr>
                <w:rFonts w:ascii="宋体" w:hAnsi="宋体" w:cs="宋体"/>
                <w:kern w:val="0"/>
                <w:sz w:val="20"/>
                <w:szCs w:val="20"/>
              </w:rPr>
            </w:pPr>
          </w:p>
        </w:tc>
        <w:tc>
          <w:tcPr>
            <w:tcW w:w="4485" w:type="dxa"/>
            <w:vMerge/>
            <w:tcBorders>
              <w:left w:val="single" w:sz="6" w:space="0" w:color="auto"/>
              <w:bottom w:val="single" w:sz="6" w:space="0" w:color="auto"/>
              <w:right w:val="single" w:sz="6" w:space="0" w:color="auto"/>
            </w:tcBorders>
            <w:noWrap/>
            <w:vAlign w:val="center"/>
          </w:tcPr>
          <w:p w:rsidR="00CF107A" w:rsidRDefault="00CF107A">
            <w:pPr>
              <w:widowControl/>
              <w:jc w:val="left"/>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2</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3</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4</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5</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6</w:t>
            </w: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7</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一、非公益性捐赠</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2</w:t>
            </w:r>
          </w:p>
        </w:tc>
        <w:tc>
          <w:tcPr>
            <w:tcW w:w="4485" w:type="dxa"/>
            <w:tcBorders>
              <w:top w:val="single" w:sz="6" w:space="0" w:color="auto"/>
              <w:left w:val="single" w:sz="6" w:space="0" w:color="auto"/>
              <w:bottom w:val="single" w:sz="6" w:space="0" w:color="auto"/>
              <w:right w:val="single" w:sz="6" w:space="0" w:color="auto"/>
            </w:tcBorders>
            <w:shd w:val="clear" w:color="auto" w:fill="auto"/>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二、限额扣除的公益性捐赠(3+4+5+6)</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12"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3</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jc w:val="left"/>
              <w:rPr>
                <w:rFonts w:ascii="宋体" w:hAnsi="宋体" w:cs="宋体"/>
                <w:kern w:val="0"/>
                <w:sz w:val="20"/>
                <w:szCs w:val="20"/>
              </w:rPr>
            </w:pPr>
            <w:r>
              <w:rPr>
                <w:rFonts w:ascii="宋体" w:hAnsi="宋体" w:cs="宋体" w:hint="eastAsia"/>
                <w:kern w:val="0"/>
                <w:sz w:val="20"/>
                <w:szCs w:val="20"/>
              </w:rPr>
              <w:t>前三年度（　　　　年）</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4</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jc w:val="left"/>
              <w:rPr>
                <w:rFonts w:ascii="宋体" w:hAnsi="宋体" w:cs="宋体"/>
                <w:kern w:val="0"/>
                <w:sz w:val="20"/>
                <w:szCs w:val="20"/>
              </w:rPr>
            </w:pPr>
            <w:r>
              <w:rPr>
                <w:rFonts w:ascii="宋体" w:hAnsi="宋体" w:cs="宋体" w:hint="eastAsia"/>
                <w:kern w:val="0"/>
                <w:sz w:val="20"/>
                <w:szCs w:val="20"/>
              </w:rPr>
              <w:t>前二年度（　　　　年）</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CF107A">
            <w:pPr>
              <w:widowControl/>
              <w:jc w:val="center"/>
              <w:rPr>
                <w:rFonts w:ascii="宋体" w:hAnsi="宋体" w:cs="宋体"/>
                <w:kern w:val="0"/>
                <w:sz w:val="20"/>
                <w:szCs w:val="20"/>
              </w:rPr>
            </w:pP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5</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jc w:val="left"/>
              <w:rPr>
                <w:rFonts w:ascii="宋体" w:hAnsi="宋体" w:cs="宋体"/>
                <w:kern w:val="0"/>
                <w:sz w:val="20"/>
                <w:szCs w:val="20"/>
              </w:rPr>
            </w:pPr>
            <w:r>
              <w:rPr>
                <w:rFonts w:ascii="宋体" w:hAnsi="宋体" w:cs="宋体" w:hint="eastAsia"/>
                <w:kern w:val="0"/>
                <w:sz w:val="20"/>
                <w:szCs w:val="20"/>
              </w:rPr>
              <w:t>前一年度（　　　　年）</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CF107A">
            <w:pPr>
              <w:widowControl/>
              <w:jc w:val="center"/>
              <w:rPr>
                <w:rFonts w:ascii="宋体" w:hAnsi="宋体" w:cs="宋体"/>
                <w:kern w:val="0"/>
                <w:sz w:val="20"/>
                <w:szCs w:val="20"/>
              </w:rPr>
            </w:pP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6</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ind w:firstLineChars="200" w:firstLine="400"/>
              <w:jc w:val="left"/>
              <w:rPr>
                <w:rFonts w:ascii="宋体" w:hAnsi="宋体" w:cs="宋体"/>
                <w:kern w:val="0"/>
                <w:sz w:val="20"/>
                <w:szCs w:val="20"/>
              </w:rPr>
            </w:pPr>
            <w:r>
              <w:rPr>
                <w:rFonts w:ascii="宋体" w:hAnsi="宋体" w:cs="宋体" w:hint="eastAsia"/>
                <w:kern w:val="0"/>
                <w:sz w:val="20"/>
                <w:szCs w:val="20"/>
              </w:rPr>
              <w:t>本年（　　　　年）</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CF107A">
            <w:pPr>
              <w:widowControl/>
              <w:jc w:val="center"/>
              <w:rPr>
                <w:rFonts w:ascii="宋体" w:hAnsi="宋体" w:cs="宋体"/>
                <w:kern w:val="0"/>
                <w:sz w:val="20"/>
                <w:szCs w:val="20"/>
              </w:rPr>
            </w:pP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7</w:t>
            </w:r>
          </w:p>
        </w:tc>
        <w:tc>
          <w:tcPr>
            <w:tcW w:w="4485" w:type="dxa"/>
            <w:tcBorders>
              <w:top w:val="single" w:sz="6" w:space="0" w:color="auto"/>
              <w:left w:val="single" w:sz="6" w:space="0" w:color="auto"/>
              <w:right w:val="single" w:sz="6" w:space="0" w:color="auto"/>
            </w:tcBorders>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三、全额扣除的公益性捐赠</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8</w:t>
            </w:r>
          </w:p>
        </w:tc>
        <w:tc>
          <w:tcPr>
            <w:tcW w:w="4485" w:type="dxa"/>
            <w:tcBorders>
              <w:left w:val="single" w:sz="6" w:space="0" w:color="auto"/>
              <w:right w:val="single" w:sz="6" w:space="0" w:color="auto"/>
            </w:tcBorders>
            <w:shd w:val="clear" w:color="auto" w:fill="auto"/>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9</w:t>
            </w:r>
          </w:p>
        </w:tc>
        <w:tc>
          <w:tcPr>
            <w:tcW w:w="4485" w:type="dxa"/>
            <w:tcBorders>
              <w:left w:val="single" w:sz="6" w:space="0" w:color="auto"/>
              <w:bottom w:val="single" w:sz="6" w:space="0" w:color="auto"/>
              <w:right w:val="single" w:sz="6" w:space="0" w:color="auto"/>
            </w:tcBorders>
            <w:shd w:val="clear" w:color="auto" w:fill="auto"/>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2.</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shd w:val="clear" w:color="auto" w:fill="auto"/>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10</w:t>
            </w:r>
          </w:p>
        </w:tc>
        <w:tc>
          <w:tcPr>
            <w:tcW w:w="4485" w:type="dxa"/>
            <w:tcBorders>
              <w:left w:val="single" w:sz="6" w:space="0" w:color="auto"/>
              <w:bottom w:val="single" w:sz="6" w:space="0" w:color="auto"/>
              <w:right w:val="single" w:sz="6" w:space="0" w:color="auto"/>
            </w:tcBorders>
            <w:shd w:val="clear" w:color="auto" w:fill="auto"/>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3.</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6" w:space="0" w:color="auto"/>
              <w:right w:val="single" w:sz="12" w:space="0" w:color="auto"/>
            </w:tcBorders>
            <w:shd w:val="clear" w:color="auto" w:fill="FFFFFF"/>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r w:rsidR="00CF107A">
        <w:trPr>
          <w:trHeight w:val="454"/>
        </w:trPr>
        <w:tc>
          <w:tcPr>
            <w:tcW w:w="1200" w:type="dxa"/>
            <w:tcBorders>
              <w:top w:val="single" w:sz="6" w:space="0" w:color="auto"/>
              <w:left w:val="single" w:sz="12"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11</w:t>
            </w:r>
          </w:p>
        </w:tc>
        <w:tc>
          <w:tcPr>
            <w:tcW w:w="4485"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合计（1+2+7）</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08" w:type="dxa"/>
            <w:tcBorders>
              <w:top w:val="single" w:sz="6" w:space="0" w:color="auto"/>
              <w:left w:val="single" w:sz="6" w:space="0" w:color="auto"/>
              <w:bottom w:val="single" w:sz="6"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2" w:type="dxa"/>
            <w:tcBorders>
              <w:top w:val="single" w:sz="6" w:space="0" w:color="auto"/>
              <w:left w:val="single" w:sz="6" w:space="0" w:color="auto"/>
              <w:bottom w:val="single" w:sz="6"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107A">
        <w:trPr>
          <w:trHeight w:val="454"/>
        </w:trPr>
        <w:tc>
          <w:tcPr>
            <w:tcW w:w="1200" w:type="dxa"/>
            <w:tcBorders>
              <w:top w:val="single" w:sz="6" w:space="0" w:color="auto"/>
              <w:left w:val="single" w:sz="12" w:space="0" w:color="auto"/>
              <w:bottom w:val="single" w:sz="12"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附列资料</w:t>
            </w:r>
          </w:p>
        </w:tc>
        <w:tc>
          <w:tcPr>
            <w:tcW w:w="4485"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left"/>
              <w:rPr>
                <w:rFonts w:ascii="宋体" w:hAnsi="宋体" w:cs="宋体"/>
                <w:kern w:val="0"/>
                <w:sz w:val="20"/>
                <w:szCs w:val="20"/>
              </w:rPr>
            </w:pPr>
            <w:r>
              <w:rPr>
                <w:rFonts w:ascii="宋体" w:hAnsi="宋体" w:cs="宋体" w:hint="eastAsia"/>
                <w:kern w:val="0"/>
                <w:sz w:val="20"/>
                <w:szCs w:val="20"/>
              </w:rPr>
              <w:t>2015年度至本年发生的公益性扶贫捐赠合计金额</w:t>
            </w: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CF107A">
            <w:pPr>
              <w:widowControl/>
              <w:jc w:val="center"/>
              <w:rPr>
                <w:rFonts w:ascii="宋体" w:hAnsi="宋体" w:cs="宋体"/>
                <w:kern w:val="0"/>
                <w:sz w:val="20"/>
                <w:szCs w:val="20"/>
              </w:rPr>
            </w:pP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08" w:type="dxa"/>
            <w:tcBorders>
              <w:top w:val="single" w:sz="6" w:space="0" w:color="auto"/>
              <w:left w:val="single" w:sz="6" w:space="0" w:color="auto"/>
              <w:bottom w:val="single" w:sz="12" w:space="0" w:color="auto"/>
              <w:right w:val="single" w:sz="6"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c>
          <w:tcPr>
            <w:tcW w:w="1212" w:type="dxa"/>
            <w:tcBorders>
              <w:top w:val="single" w:sz="6" w:space="0" w:color="auto"/>
              <w:left w:val="single" w:sz="6" w:space="0" w:color="auto"/>
              <w:bottom w:val="single" w:sz="12" w:space="0" w:color="auto"/>
              <w:right w:val="single" w:sz="12" w:space="0" w:color="auto"/>
            </w:tcBorders>
            <w:noWrap/>
            <w:vAlign w:val="center"/>
          </w:tcPr>
          <w:p w:rsidR="00CF107A" w:rsidRDefault="00D7617D">
            <w:pPr>
              <w:widowControl/>
              <w:jc w:val="center"/>
              <w:rPr>
                <w:rFonts w:ascii="宋体" w:hAnsi="宋体" w:cs="宋体"/>
                <w:kern w:val="0"/>
                <w:sz w:val="20"/>
                <w:szCs w:val="20"/>
              </w:rPr>
            </w:pPr>
            <w:r>
              <w:rPr>
                <w:rFonts w:ascii="宋体" w:hAnsi="宋体" w:cs="宋体" w:hint="eastAsia"/>
                <w:kern w:val="0"/>
                <w:sz w:val="20"/>
                <w:szCs w:val="20"/>
              </w:rPr>
              <w:t>*</w:t>
            </w:r>
          </w:p>
        </w:tc>
      </w:tr>
    </w:tbl>
    <w:p w:rsidR="00CF107A" w:rsidRDefault="00CF107A"/>
    <w:p w:rsidR="00CF107A" w:rsidRDefault="00CF107A"/>
    <w:p w:rsidR="00CF107A" w:rsidRDefault="00CF107A"/>
    <w:p w:rsidR="00CF107A" w:rsidRDefault="00CF107A">
      <w:pPr>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T1"/>
        <w:jc w:val="center"/>
      </w:pPr>
      <w:r>
        <w:rPr>
          <w:rFonts w:hint="eastAsia"/>
        </w:rPr>
        <w:lastRenderedPageBreak/>
        <w:t>A105070    《捐赠支出及纳税调整明细表》填报说明</w:t>
      </w:r>
    </w:p>
    <w:p w:rsidR="00CF107A" w:rsidRDefault="00D7617D">
      <w:pPr>
        <w:spacing w:line="360" w:lineRule="auto"/>
        <w:ind w:firstLineChars="200" w:firstLine="480"/>
        <w:rPr>
          <w:rFonts w:ascii="宋体" w:hAnsi="宋体" w:cs="宋体"/>
          <w:sz w:val="24"/>
        </w:rPr>
      </w:pPr>
      <w:r>
        <w:rPr>
          <w:rFonts w:ascii="宋体" w:hAnsi="宋体" w:cs="宋体" w:hint="eastAsia"/>
          <w:sz w:val="24"/>
        </w:rPr>
        <w:t>本表适用于发生捐赠支出（含捐赠支出结转）的纳税人填报。纳税人根据税法、《财政部 税务总局 海关总署关于北京2022年冬奥会和冬残奥会税收政策的通知》（财税〔2017〕60号）、《财政部 税务总局关于公益性捐赠支出企业所得税税前结转扣除有关政策的通知》（财税〔2018〕15号）、《财政部 税务总局 国务院扶贫办关于企业扶贫捐赠所得税税前扣除政策的公告》（2019年第49号）、《财政部　税务总局关于公共租赁住房税收优惠政策的公告》（2019年第61号）、《财政部 税务总局关于支持新型冠状病毒感染的肺炎疫情防控有关捐赠税收政策的公告》（2020年第9号）、《财政部 税务总局、海关总署关于杭州亚运会和亚残运会税收政策的公告》（2020年第18号）等相关规定，以及国家统一企业会计制度，填报捐赠支出会计处理、税收规定的税前扣除额、捐赠支出结转额以及纳税调整额。纳税人发生相关支出（含捐赠支出结转），无论是否纳税调整，均应填报本表。</w:t>
      </w:r>
    </w:p>
    <w:p w:rsidR="00CF107A" w:rsidRDefault="00D7617D">
      <w:pPr>
        <w:spacing w:before="156" w:line="360" w:lineRule="auto"/>
        <w:ind w:firstLineChars="200" w:firstLine="482"/>
        <w:jc w:val="left"/>
        <w:outlineLvl w:val="1"/>
        <w:rPr>
          <w:rFonts w:ascii="宋体" w:hAnsi="宋体" w:cs="宋体"/>
          <w:b/>
          <w:sz w:val="24"/>
        </w:rPr>
      </w:pPr>
      <w:bookmarkStart w:id="2" w:name="_Toc24965035"/>
      <w:bookmarkStart w:id="3" w:name="_Toc21711214"/>
      <w:bookmarkStart w:id="4" w:name="_Toc54267914"/>
      <w:bookmarkStart w:id="5" w:name="_Toc54267547"/>
      <w:bookmarkStart w:id="6" w:name="_Toc21703731"/>
      <w:bookmarkStart w:id="7" w:name="_Toc21712252"/>
      <w:r>
        <w:rPr>
          <w:rFonts w:ascii="宋体" w:hAnsi="宋体" w:cs="宋体" w:hint="eastAsia"/>
          <w:b/>
          <w:sz w:val="24"/>
        </w:rPr>
        <w:t>一、有关项目填报说明</w:t>
      </w:r>
      <w:bookmarkEnd w:id="2"/>
      <w:bookmarkEnd w:id="3"/>
      <w:bookmarkEnd w:id="4"/>
      <w:bookmarkEnd w:id="5"/>
      <w:bookmarkEnd w:id="6"/>
      <w:bookmarkEnd w:id="7"/>
    </w:p>
    <w:p w:rsidR="00CF107A" w:rsidRDefault="00D7617D">
      <w:pPr>
        <w:spacing w:line="360" w:lineRule="auto"/>
        <w:ind w:firstLineChars="200" w:firstLine="480"/>
        <w:rPr>
          <w:rFonts w:ascii="宋体" w:hAnsi="宋体" w:cs="宋体"/>
          <w:sz w:val="24"/>
        </w:rPr>
      </w:pPr>
      <w:r>
        <w:rPr>
          <w:rFonts w:ascii="宋体" w:hAnsi="宋体" w:cs="宋体" w:hint="eastAsia"/>
          <w:sz w:val="24"/>
        </w:rPr>
        <w:t>1.第1行“非公益性捐赠”：填报纳税人本年发生且已计入本年损益的税收规定公益性捐赠以外的其他捐赠支出及纳税调整情况。具体如下：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（1）第1列“账载金额”：填报纳税人计入本年损益的公益性捐赠以外的其他捐赠支出金额，包括该支出已通过《纳税调整项目明细表》（A105000）第30行“（十七）其他”进行纳税调整的金额。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（2）第5列“纳税调增额”：填报非公益性捐赠支出纳税调整增加额，金额等于第1列“账载金额”。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3.第3行“前三年度”：填报纳税人前三年度发生的未税前扣除的公益性捐赠支出在本年度扣除的金额。具体如下：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（1）第2列“以前年度结转可扣除的捐赠额”：填报前三年度发生的尚未税前扣除</w:t>
      </w:r>
      <w:r>
        <w:rPr>
          <w:rFonts w:ascii="宋体" w:hAnsi="宋体" w:cs="宋体" w:hint="eastAsia"/>
          <w:sz w:val="24"/>
        </w:rPr>
        <w:lastRenderedPageBreak/>
        <w:t>的公益性捐赠支出金额。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（2）第6列“纳税调减额”：根据本年扣除限额以及前三年度未扣除的公益性捐赠支出分析填报。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4.第4行“前二年度”：填报纳税人前二年度发生的未税前扣除的公益性捐赠支出在本年度扣除的捐赠额以及结转以后年度扣除的捐赠额。具体如下：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（1）第2列“以前年度结转可扣除的捐赠额”：填报前二年度发生的尚未税前扣除的公益性捐赠支出金额。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（2）第6列“纳税调减额”：根据本年剩余扣除限额、本年扣除前三年度捐赠支出、前二年度未扣除的公益性捐赠支出分析填报。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（3）第7列“可结转以后年度扣除的捐赠额”：填报前二年度未扣除、结转以后年度扣除的公益性捐赠支出金额。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5.第5行“前一年度”：填报纳税人前一年度发生的未税前扣除的公益性捐赠支出在本年度扣除的捐赠额以及结转以后年度扣除的捐赠额。具体如下：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（1）第2列“以前年度结转可扣除的捐赠额”：填报前一年度发生的尚未税前扣除的公益性捐赠支出金额。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（2）第6列“纳税调减额”：根据本年剩余扣除限额、本年扣除前三年度捐赠支出、本年扣除前二年度捐赠支出、前一年度未扣除的公益性捐赠支出分析填报。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（3）第7列“</w:t>
      </w:r>
      <w:r>
        <w:rPr>
          <w:rFonts w:ascii="宋体" w:hAnsi="宋体" w:cs="宋体" w:hint="eastAsia"/>
          <w:kern w:val="0"/>
          <w:sz w:val="24"/>
        </w:rPr>
        <w:t>可结转以后年度扣除的捐赠额</w:t>
      </w:r>
      <w:r>
        <w:rPr>
          <w:rFonts w:ascii="宋体" w:hAnsi="宋体" w:cs="宋体" w:hint="eastAsia"/>
          <w:sz w:val="24"/>
        </w:rPr>
        <w:t>”：填报前一年度未扣除、结转以后年度扣除的公益性捐赠支出金额。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6.第6行“本年”：填报纳税人本年度发生、本年税前扣除、本年纳税调增以及结转以后年度扣除的公益性捐赠支出。具体如下：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（1）第1列“账载金额”：填报计入本年损益的公益性捐赠支出金额，包括该支出已通过《纳税调整项目明细表》（A105000）第30行“（十七）其他”进行纳税调整的金额。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（2）第3列“按税收规定计算的扣除限额”：填报按照本年利润总额乘以12%的金额，若利润总额为负数，则以0填报。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（3）第4列“税收金额”：根据本年实际发生的公益性捐赠支出以及结转扣除以前</w:t>
      </w:r>
      <w:r>
        <w:rPr>
          <w:rFonts w:ascii="宋体" w:hAnsi="宋体" w:cs="宋体" w:hint="eastAsia"/>
          <w:sz w:val="24"/>
        </w:rPr>
        <w:lastRenderedPageBreak/>
        <w:t>年度公益性捐赠支出情况分析填报。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（4）第5列“纳税调增额”：填报本年公益性捐赠支出账载金额超过税收规定的税前扣除额的部分。</w:t>
      </w:r>
    </w:p>
    <w:p w:rsidR="00CF107A" w:rsidRDefault="00D7617D">
      <w:pPr>
        <w:spacing w:line="360" w:lineRule="auto"/>
        <w:ind w:firstLineChars="200" w:firstLine="480"/>
        <w:rPr>
          <w:rFonts w:ascii="宋体" w:hAnsi="宋体" w:cs="宋体"/>
          <w:b/>
          <w:sz w:val="24"/>
        </w:rPr>
      </w:pPr>
      <w:r>
        <w:rPr>
          <w:rFonts w:ascii="宋体" w:hAnsi="宋体" w:cs="宋体" w:hint="eastAsia"/>
          <w:sz w:val="24"/>
        </w:rPr>
        <w:t>（5）第7列“可结转以后年度扣除的捐赠额”：填报本年度未扣除、结转以后年度扣除的公益性捐赠支出金额</w:t>
      </w:r>
      <w:r>
        <w:rPr>
          <w:rFonts w:ascii="宋体" w:hAnsi="宋体" w:cs="宋体" w:hint="eastAsia"/>
          <w:b/>
          <w:sz w:val="24"/>
        </w:rPr>
        <w:t>。</w:t>
      </w:r>
    </w:p>
    <w:p w:rsidR="00CF107A" w:rsidRDefault="00D7617D">
      <w:pPr>
        <w:spacing w:line="360" w:lineRule="auto"/>
        <w:ind w:firstLineChars="200" w:firstLine="480"/>
        <w:rPr>
          <w:rFonts w:ascii="宋体" w:hAnsi="宋体" w:cs="宋体"/>
          <w:sz w:val="24"/>
        </w:rPr>
      </w:pPr>
      <w:r>
        <w:rPr>
          <w:rFonts w:ascii="宋体" w:hAnsi="宋体" w:cs="宋体" w:hint="eastAsia"/>
          <w:sz w:val="24"/>
        </w:rPr>
        <w:t>7.第7行至第10行“全额扣除的公益性捐赠”：填报纳税人发生的可全额税前扣除的公益性捐赠支出。</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（1）第7行：填报各行相应列次填报金额的合计金额。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8行至第10行“项目”：纳税人在以下事项中选择填报：1.扶贫捐赠；2.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rsidR="00CF107A" w:rsidRDefault="00D7617D">
      <w:pPr>
        <w:spacing w:line="360" w:lineRule="auto"/>
        <w:ind w:firstLineChars="200" w:firstLine="480"/>
        <w:rPr>
          <w:rFonts w:ascii="宋体" w:hAnsi="宋体" w:cs="宋体"/>
          <w:sz w:val="24"/>
        </w:rPr>
      </w:pPr>
      <w:r>
        <w:rPr>
          <w:rFonts w:ascii="宋体" w:hAnsi="宋体" w:cs="宋体" w:hint="eastAsia"/>
          <w:sz w:val="24"/>
        </w:rPr>
        <w:t>（3）具体各项目填报规则如下：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扶贫捐赠：填报纳税人发生的可全额税前扣除的扶贫公益性捐赠支出情况。</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第1列“账载金额”：填报纳税人本年发生且已计入本年损益的可全额税前扣除的扶贫公益性捐赠支出金额，包括该支出已通过《纳税调整项目明细表》（A105000）第30行“（十七）其他”进行纳税调整的金额。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第4列“税收金额”：填报第1列“账载金额”。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北京2022年冬奥会、冬残奥会、测试赛捐赠：填报纳税人赞助、捐赠北京2022年冬奥会、冬残奥会、测试赛的可全额扣除的资金、物资、服务支出情况。</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第4列“税收金额”：填报第1列“账载金额”。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杭州2022年亚运会捐赠：填报纳税人赞助、捐赠杭州2022年亚运会、亚残运会、</w:t>
      </w:r>
      <w:r>
        <w:rPr>
          <w:rFonts w:ascii="宋体" w:hAnsi="宋体" w:cs="宋体" w:hint="eastAsia"/>
          <w:sz w:val="24"/>
        </w:rPr>
        <w:lastRenderedPageBreak/>
        <w:t>测试赛的可全额扣除的资金、物资、服务支出情况。</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第4列“税收金额”：填报第1列“账载金额”。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第4列“税收金额”：填报第1列“账载金额”。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第4列“税收金额”：填报第1列“账载金额”。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8.第11行“合计”：填报第1+2+7行的合计金额。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9.附列资料“2015年度至本年发生的公益性扶贫捐赠合计金额”：填报企业按照《财政部 税务总局 国务院扶贫办关于企业扶贫捐赠所得税税前扣除政策的公告》（2019年第49号）规定，企业在2015年1月1日至本年度发生的可全额税前扣除的扶贫公益性</w:t>
      </w:r>
      <w:r>
        <w:rPr>
          <w:rFonts w:ascii="宋体" w:hAnsi="宋体" w:cs="宋体" w:hint="eastAsia"/>
          <w:sz w:val="24"/>
        </w:rPr>
        <w:lastRenderedPageBreak/>
        <w:t>捐赠支出合计金额。具体如下：</w:t>
      </w:r>
    </w:p>
    <w:p w:rsidR="00CF107A" w:rsidRDefault="00D7617D">
      <w:pPr>
        <w:spacing w:line="360" w:lineRule="auto"/>
        <w:ind w:firstLineChars="200" w:firstLine="480"/>
        <w:rPr>
          <w:rFonts w:ascii="宋体" w:hAnsi="宋体" w:cs="宋体"/>
          <w:sz w:val="24"/>
        </w:rPr>
      </w:pPr>
      <w:r>
        <w:rPr>
          <w:rFonts w:ascii="宋体" w:hAnsi="宋体" w:cs="宋体" w:hint="eastAsia"/>
          <w:sz w:val="24"/>
        </w:rPr>
        <w:t>（1）第1列“账载金额”：填报纳税人2015年1月1日至本年度发生的且已计入损益的按税收规定可全额税前扣除的扶贫公益性捐赠支出合计金额。</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（2）第4列“税收金额”：填报纳税人2015年1月1日至本年度发生的且已计入损益的按税收规定已在税前扣除的扶贫公益性捐赠支出合计金额。</w:t>
      </w:r>
    </w:p>
    <w:p w:rsidR="00CF107A" w:rsidRDefault="00D7617D">
      <w:pPr>
        <w:spacing w:before="156" w:line="360" w:lineRule="auto"/>
        <w:ind w:firstLineChars="200" w:firstLine="482"/>
        <w:jc w:val="left"/>
        <w:outlineLvl w:val="1"/>
        <w:rPr>
          <w:rFonts w:ascii="宋体" w:hAnsi="宋体" w:cs="宋体"/>
          <w:b/>
          <w:sz w:val="24"/>
        </w:rPr>
      </w:pPr>
      <w:bookmarkStart w:id="8" w:name="_Toc21711215"/>
      <w:bookmarkStart w:id="9" w:name="_Toc21703732"/>
      <w:bookmarkStart w:id="10" w:name="_Toc21712253"/>
      <w:bookmarkStart w:id="11" w:name="_Toc24965036"/>
      <w:bookmarkStart w:id="12" w:name="_Toc54267915"/>
      <w:bookmarkStart w:id="13" w:name="_Toc54267548"/>
      <w:r>
        <w:rPr>
          <w:rFonts w:ascii="宋体" w:hAnsi="宋体" w:cs="宋体" w:hint="eastAsia"/>
          <w:b/>
          <w:sz w:val="24"/>
        </w:rPr>
        <w:t>二、表内、表间关系</w:t>
      </w:r>
      <w:bookmarkEnd w:id="8"/>
      <w:bookmarkEnd w:id="9"/>
      <w:bookmarkEnd w:id="10"/>
      <w:bookmarkEnd w:id="11"/>
      <w:r>
        <w:rPr>
          <w:rFonts w:ascii="宋体" w:hAnsi="宋体" w:cs="宋体" w:hint="eastAsia"/>
          <w:b/>
          <w:sz w:val="24"/>
        </w:rPr>
        <w:t>（以表样实例行次为例）</w:t>
      </w:r>
      <w:bookmarkEnd w:id="12"/>
      <w:bookmarkEnd w:id="13"/>
    </w:p>
    <w:p w:rsidR="00CF107A" w:rsidRDefault="00D7617D">
      <w:pPr>
        <w:spacing w:line="360" w:lineRule="auto"/>
        <w:ind w:firstLineChars="200" w:firstLine="480"/>
        <w:outlineLvl w:val="2"/>
        <w:rPr>
          <w:rFonts w:ascii="宋体" w:hAnsi="宋体" w:cs="宋体"/>
          <w:sz w:val="24"/>
        </w:rPr>
      </w:pPr>
      <w:bookmarkStart w:id="14" w:name="_Toc24965037"/>
      <w:bookmarkStart w:id="15" w:name="_Toc21703733"/>
      <w:bookmarkStart w:id="16" w:name="_Toc54267916"/>
      <w:bookmarkStart w:id="17" w:name="_Toc21712254"/>
      <w:bookmarkStart w:id="18" w:name="_Toc54267549"/>
      <w:bookmarkStart w:id="19" w:name="_Toc21711216"/>
      <w:r>
        <w:rPr>
          <w:rFonts w:ascii="宋体" w:hAnsi="宋体" w:cs="宋体" w:hint="eastAsia"/>
          <w:sz w:val="24"/>
        </w:rPr>
        <w:t>（一）表内关系</w:t>
      </w:r>
      <w:bookmarkEnd w:id="14"/>
      <w:bookmarkEnd w:id="15"/>
      <w:bookmarkEnd w:id="16"/>
      <w:bookmarkEnd w:id="17"/>
      <w:bookmarkEnd w:id="18"/>
      <w:bookmarkEnd w:id="19"/>
    </w:p>
    <w:p w:rsidR="00CF107A" w:rsidRDefault="00D7617D">
      <w:pPr>
        <w:spacing w:line="360" w:lineRule="auto"/>
        <w:ind w:firstLineChars="200" w:firstLine="480"/>
        <w:rPr>
          <w:rFonts w:ascii="宋体" w:hAnsi="宋体" w:cs="宋体"/>
          <w:sz w:val="24"/>
        </w:rPr>
      </w:pPr>
      <w:r>
        <w:rPr>
          <w:rFonts w:ascii="宋体" w:hAnsi="宋体" w:cs="宋体" w:hint="eastAsia"/>
          <w:sz w:val="24"/>
        </w:rPr>
        <w:t>1.第1行第5列＝第1行第1列。</w:t>
      </w:r>
    </w:p>
    <w:p w:rsidR="00CF107A" w:rsidRDefault="00D7617D">
      <w:pPr>
        <w:spacing w:line="360" w:lineRule="auto"/>
        <w:ind w:firstLineChars="200" w:firstLine="480"/>
        <w:rPr>
          <w:rFonts w:ascii="宋体" w:hAnsi="宋体" w:cs="宋体"/>
          <w:sz w:val="24"/>
        </w:rPr>
      </w:pPr>
      <w:r>
        <w:rPr>
          <w:rFonts w:ascii="宋体" w:hAnsi="宋体" w:cs="宋体" w:hint="eastAsia"/>
          <w:sz w:val="24"/>
        </w:rPr>
        <w:t>2.第2行＝第3+4+5+6行。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3.第7行第4列＝第7行第1列。</w:t>
      </w:r>
    </w:p>
    <w:p w:rsidR="00CF107A" w:rsidRDefault="00D7617D">
      <w:pPr>
        <w:spacing w:line="360" w:lineRule="auto"/>
        <w:ind w:firstLineChars="200" w:firstLine="480"/>
        <w:rPr>
          <w:rFonts w:ascii="宋体" w:hAnsi="宋体" w:cs="宋体"/>
          <w:sz w:val="24"/>
        </w:rPr>
      </w:pPr>
      <w:r>
        <w:rPr>
          <w:rFonts w:ascii="宋体" w:hAnsi="宋体" w:cs="宋体" w:hint="eastAsia"/>
          <w:sz w:val="24"/>
        </w:rPr>
        <w:t>4.第7行＝第8+9+10行。</w:t>
      </w:r>
    </w:p>
    <w:p w:rsidR="00CF107A" w:rsidRDefault="00D7617D">
      <w:pPr>
        <w:spacing w:line="360" w:lineRule="auto"/>
        <w:ind w:firstLineChars="200" w:firstLine="480"/>
        <w:rPr>
          <w:rFonts w:ascii="宋体" w:hAnsi="宋体" w:cs="宋体"/>
          <w:sz w:val="24"/>
        </w:rPr>
      </w:pPr>
      <w:r>
        <w:rPr>
          <w:rFonts w:ascii="宋体" w:hAnsi="宋体" w:cs="宋体" w:hint="eastAsia"/>
          <w:sz w:val="24"/>
        </w:rPr>
        <w:t>5.第11行＝第1+2+7行。</w:t>
      </w:r>
    </w:p>
    <w:p w:rsidR="00CF107A" w:rsidRDefault="00D7617D">
      <w:pPr>
        <w:spacing w:line="360" w:lineRule="auto"/>
        <w:ind w:firstLineChars="200" w:firstLine="480"/>
        <w:outlineLvl w:val="2"/>
        <w:rPr>
          <w:rFonts w:ascii="宋体" w:hAnsi="宋体" w:cs="宋体"/>
          <w:sz w:val="24"/>
        </w:rPr>
      </w:pPr>
      <w:bookmarkStart w:id="20" w:name="_Toc21703734"/>
      <w:bookmarkStart w:id="21" w:name="_Toc24965038"/>
      <w:bookmarkStart w:id="22" w:name="_Toc54267550"/>
      <w:bookmarkStart w:id="23" w:name="_Toc54267917"/>
      <w:bookmarkStart w:id="24" w:name="_Toc21712255"/>
      <w:bookmarkStart w:id="25" w:name="_Toc21711217"/>
      <w:r>
        <w:rPr>
          <w:rFonts w:ascii="宋体" w:hAnsi="宋体" w:cs="宋体" w:hint="eastAsia"/>
          <w:sz w:val="24"/>
        </w:rPr>
        <w:t>（二）表间关系</w:t>
      </w:r>
      <w:bookmarkEnd w:id="20"/>
      <w:bookmarkEnd w:id="21"/>
      <w:bookmarkEnd w:id="22"/>
      <w:bookmarkEnd w:id="23"/>
      <w:bookmarkEnd w:id="24"/>
      <w:bookmarkEnd w:id="25"/>
    </w:p>
    <w:p w:rsidR="00CF107A" w:rsidRDefault="00D7617D">
      <w:pPr>
        <w:spacing w:line="360" w:lineRule="auto"/>
        <w:ind w:firstLineChars="200" w:firstLine="480"/>
        <w:rPr>
          <w:rFonts w:ascii="宋体" w:hAnsi="宋体" w:cs="宋体"/>
          <w:sz w:val="24"/>
        </w:rPr>
      </w:pPr>
      <w:r>
        <w:rPr>
          <w:rFonts w:ascii="宋体" w:hAnsi="宋体" w:cs="宋体" w:hint="eastAsia"/>
          <w:sz w:val="24"/>
        </w:rPr>
        <w:t>1.第6行第3列＝表A100000第13行×12%（当表A100000第13行≤0，第11行第3列</w:t>
      </w:r>
      <w:bookmarkStart w:id="26" w:name="_GoBack"/>
      <w:bookmarkEnd w:id="26"/>
      <w:r>
        <w:rPr>
          <w:rFonts w:ascii="宋体" w:hAnsi="宋体" w:cs="宋体" w:hint="eastAsia"/>
          <w:sz w:val="24"/>
        </w:rPr>
        <w:t>＝0）。</w:t>
      </w:r>
    </w:p>
    <w:p w:rsidR="00CF107A" w:rsidRPr="00A97A13" w:rsidRDefault="00D7617D" w:rsidP="00A97A13">
      <w:pPr>
        <w:spacing w:line="360" w:lineRule="auto"/>
        <w:ind w:firstLineChars="200" w:firstLine="480"/>
        <w:rPr>
          <w:rFonts w:ascii="宋体" w:hAnsi="宋体" w:cs="宋体"/>
          <w:sz w:val="24"/>
        </w:rPr>
      </w:pPr>
      <w:r w:rsidRPr="00A97A13">
        <w:rPr>
          <w:rFonts w:ascii="宋体" w:hAnsi="宋体" w:cs="宋体" w:hint="eastAsia"/>
          <w:sz w:val="24"/>
        </w:rPr>
        <w:t>2.合计行第1列＝表A105000第17行第1列；合计行第4列＝表A105000第17行第2列；合计行第5列＝表A105000第17行第3列；合计行第6列＝表A105000第17行第4列。</w:t>
      </w:r>
      <w:bookmarkEnd w:id="0"/>
    </w:p>
    <w:sectPr w:rsidR="00CF107A" w:rsidRPr="00A97A13">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AE" w:rsidRDefault="005E12AE">
      <w:r>
        <w:separator/>
      </w:r>
    </w:p>
  </w:endnote>
  <w:endnote w:type="continuationSeparator" w:id="0">
    <w:p w:rsidR="005E12AE" w:rsidRDefault="005E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7A13">
      <w:rPr>
        <w:rStyle w:val="ae"/>
        <w:noProof/>
      </w:rPr>
      <w:t>39</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AE" w:rsidRDefault="005E12AE">
      <w:r>
        <w:separator/>
      </w:r>
    </w:p>
  </w:footnote>
  <w:footnote w:type="continuationSeparator" w:id="0">
    <w:p w:rsidR="005E12AE" w:rsidRDefault="005E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E12AE"/>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1CA8"/>
    <w:rsid w:val="00A830BB"/>
    <w:rsid w:val="00A97A13"/>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2022-01-08T12:31:00Z</dcterms:created>
  <dcterms:modified xsi:type="dcterms:W3CDTF">2022-01-08T12:32:00Z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