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F8E32" w14:textId="77777777" w:rsidR="00452804" w:rsidRPr="00452804" w:rsidRDefault="00452804" w:rsidP="00452804">
      <w:pPr>
        <w:spacing w:beforeLines="50" w:before="156" w:afterLines="50" w:after="156" w:line="360" w:lineRule="auto"/>
        <w:rPr>
          <w:rFonts w:asciiTheme="minorEastAsia" w:hAnsiTheme="minorEastAsia"/>
          <w:sz w:val="24"/>
          <w:szCs w:val="24"/>
        </w:rPr>
      </w:pPr>
    </w:p>
    <w:p w14:paraId="5F0EF079" w14:textId="77777777" w:rsidR="00452804" w:rsidRPr="00452804" w:rsidRDefault="00452804" w:rsidP="00452804">
      <w:pPr>
        <w:pStyle w:val="a3"/>
        <w:shd w:val="clear" w:color="auto" w:fill="FFFFFF"/>
        <w:spacing w:beforeLines="50" w:before="156" w:beforeAutospacing="0" w:afterLines="50" w:after="156" w:afterAutospacing="0" w:line="360" w:lineRule="auto"/>
        <w:jc w:val="center"/>
        <w:rPr>
          <w:rFonts w:asciiTheme="minorEastAsia" w:eastAsiaTheme="minorEastAsia" w:hAnsiTheme="minorEastAsia"/>
          <w:color w:val="E36C0A" w:themeColor="accent6" w:themeShade="BF"/>
          <w:sz w:val="44"/>
          <w:szCs w:val="44"/>
        </w:rPr>
      </w:pPr>
      <w:r w:rsidRPr="00452804">
        <w:rPr>
          <w:rStyle w:val="a4"/>
          <w:rFonts w:asciiTheme="minorEastAsia" w:eastAsiaTheme="minorEastAsia" w:hAnsiTheme="minorEastAsia" w:hint="eastAsia"/>
          <w:color w:val="E36C0A" w:themeColor="accent6" w:themeShade="BF"/>
          <w:sz w:val="44"/>
          <w:szCs w:val="44"/>
        </w:rPr>
        <w:t>关于适用《最高人民法院关于审理证券市场虚假陈述侵权民事赔偿案件的若干规定》有关问题的通知</w:t>
      </w:r>
    </w:p>
    <w:p w14:paraId="5B2C49C4" w14:textId="77777777" w:rsidR="00452804" w:rsidRPr="00452804" w:rsidRDefault="00452804" w:rsidP="00452804">
      <w:pPr>
        <w:spacing w:beforeLines="50" w:before="156" w:afterLines="50" w:after="156" w:line="360" w:lineRule="auto"/>
        <w:rPr>
          <w:rFonts w:asciiTheme="minorEastAsia" w:hAnsiTheme="minorEastAsia"/>
          <w:sz w:val="24"/>
          <w:szCs w:val="24"/>
        </w:rPr>
      </w:pPr>
    </w:p>
    <w:p w14:paraId="4D16CF0D" w14:textId="22E4B2E6" w:rsidR="00452804" w:rsidRPr="00452804" w:rsidRDefault="004B01EA" w:rsidP="00452804">
      <w:pPr>
        <w:spacing w:beforeLines="50" w:before="156" w:afterLines="50" w:after="156" w:line="360" w:lineRule="auto"/>
        <w:jc w:val="center"/>
        <w:rPr>
          <w:rFonts w:asciiTheme="minorEastAsia" w:hAnsiTheme="minorEastAsia"/>
          <w:color w:val="2F2F2F"/>
          <w:sz w:val="24"/>
          <w:szCs w:val="24"/>
          <w:shd w:val="clear" w:color="auto" w:fill="FFFFFF"/>
        </w:rPr>
      </w:pPr>
      <w:hyperlink r:id="rId5" w:history="1">
        <w:r w:rsidR="00452804" w:rsidRPr="004B01EA">
          <w:rPr>
            <w:rStyle w:val="a5"/>
            <w:rFonts w:asciiTheme="minorEastAsia" w:hAnsiTheme="minorEastAsia" w:hint="eastAsia"/>
            <w:sz w:val="24"/>
            <w:szCs w:val="24"/>
            <w:shd w:val="clear" w:color="auto" w:fill="FFFFFF"/>
          </w:rPr>
          <w:t>法〔2022〕23号</w:t>
        </w:r>
      </w:hyperlink>
    </w:p>
    <w:p w14:paraId="7F12004F" w14:textId="77777777" w:rsidR="00452804" w:rsidRPr="00452804" w:rsidRDefault="00452804" w:rsidP="00452804">
      <w:pPr>
        <w:spacing w:beforeLines="50" w:before="156" w:afterLines="50" w:after="156" w:line="360" w:lineRule="auto"/>
        <w:rPr>
          <w:rFonts w:asciiTheme="minorEastAsia" w:hAnsiTheme="minorEastAsia"/>
          <w:color w:val="2F2F2F"/>
          <w:sz w:val="24"/>
          <w:szCs w:val="24"/>
          <w:shd w:val="clear" w:color="auto" w:fill="FFFFFF"/>
        </w:rPr>
      </w:pPr>
    </w:p>
    <w:p w14:paraId="70A2C7B0" w14:textId="77777777" w:rsidR="00452804" w:rsidRPr="00452804" w:rsidRDefault="00452804" w:rsidP="00452804">
      <w:pPr>
        <w:pStyle w:val="a3"/>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452804">
        <w:rPr>
          <w:rFonts w:asciiTheme="minorEastAsia" w:eastAsiaTheme="minorEastAsia" w:hAnsiTheme="minorEastAsia" w:hint="eastAsia"/>
          <w:color w:val="2F2F2F"/>
        </w:rPr>
        <w:t>各省、自治区、直辖市高级人民法院，新疆维吾尔自治区高级人民法院生产建设兵团分院；中国证券监督管理委员会各派出机构、各交易所、各下属单位、各协会：</w:t>
      </w:r>
    </w:p>
    <w:p w14:paraId="2FD3A7D8" w14:textId="76F61C73" w:rsidR="00452804" w:rsidRPr="00452804" w:rsidRDefault="00452804" w:rsidP="00673E39">
      <w:pPr>
        <w:pStyle w:val="a3"/>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452804">
        <w:rPr>
          <w:rFonts w:asciiTheme="minorEastAsia" w:eastAsiaTheme="minorEastAsia" w:hAnsiTheme="minorEastAsia" w:hint="eastAsia"/>
          <w:color w:val="2F2F2F"/>
        </w:rPr>
        <w:t xml:space="preserve">　　《</w:t>
      </w:r>
      <w:hyperlink r:id="rId6" w:history="1">
        <w:r w:rsidRPr="00E37E7B">
          <w:rPr>
            <w:rStyle w:val="a5"/>
            <w:rFonts w:asciiTheme="minorEastAsia" w:eastAsiaTheme="minorEastAsia" w:hAnsiTheme="minorEastAsia" w:hint="eastAsia"/>
          </w:rPr>
          <w:t>最高人民法院关于审理证券市场虚假陈述侵权民事赔偿案件的若干规定</w:t>
        </w:r>
      </w:hyperlink>
      <w:r w:rsidRPr="00452804">
        <w:rPr>
          <w:rFonts w:asciiTheme="minorEastAsia" w:eastAsiaTheme="minorEastAsia" w:hAnsiTheme="minorEastAsia" w:hint="eastAsia"/>
          <w:color w:val="2F2F2F"/>
        </w:rPr>
        <w:t>》(以下简称《</w:t>
      </w:r>
      <w:hyperlink r:id="rId7" w:history="1">
        <w:r w:rsidR="00E37E7B" w:rsidRPr="00E37E7B">
          <w:rPr>
            <w:rStyle w:val="a5"/>
            <w:rFonts w:asciiTheme="minorEastAsia" w:eastAsiaTheme="minorEastAsia" w:hAnsiTheme="minorEastAsia" w:hint="eastAsia"/>
          </w:rPr>
          <w:t>若干规定</w:t>
        </w:r>
      </w:hyperlink>
      <w:r w:rsidRPr="00452804">
        <w:rPr>
          <w:rFonts w:asciiTheme="minorEastAsia" w:eastAsiaTheme="minorEastAsia" w:hAnsiTheme="minorEastAsia" w:hint="eastAsia"/>
          <w:color w:val="2F2F2F"/>
        </w:rPr>
        <w:t>》) 已于 2021年12月30日由最高人民法院审判委员会第1860次会议通过。为更好地发挥人民法院和监管部门的协同作用，依法保护投资者合法权益，维护公开、公平、公正的资本市场秩序，促进资本市场健康发展，现就《若干规定》实施中的有关问题通知如下：</w:t>
      </w:r>
    </w:p>
    <w:p w14:paraId="1234F84E" w14:textId="5F969FEC" w:rsidR="00673E39" w:rsidRPr="00673E39" w:rsidRDefault="00452804" w:rsidP="00673E39">
      <w:pPr>
        <w:pStyle w:val="1"/>
        <w:spacing w:before="50" w:after="50" w:line="360" w:lineRule="auto"/>
        <w:ind w:firstLineChars="196" w:firstLine="472"/>
        <w:rPr>
          <w:rFonts w:hint="eastAsia"/>
          <w:sz w:val="24"/>
          <w:szCs w:val="24"/>
        </w:rPr>
      </w:pPr>
      <w:r w:rsidRPr="00673E39">
        <w:rPr>
          <w:rFonts w:hint="eastAsia"/>
          <w:sz w:val="24"/>
          <w:szCs w:val="24"/>
        </w:rPr>
        <w:t>一、</w:t>
      </w:r>
      <w:r w:rsidR="00673E39" w:rsidRPr="00673E39">
        <w:rPr>
          <w:rFonts w:hint="eastAsia"/>
          <w:sz w:val="24"/>
          <w:szCs w:val="24"/>
        </w:rPr>
        <w:t>【</w:t>
      </w:r>
      <w:r w:rsidR="00673E39">
        <w:rPr>
          <w:rFonts w:hint="eastAsia"/>
          <w:sz w:val="24"/>
          <w:szCs w:val="24"/>
        </w:rPr>
        <w:t>证券市场虚假陈述民事赔偿</w:t>
      </w:r>
      <w:r w:rsidR="00673E39" w:rsidRPr="00673E39">
        <w:rPr>
          <w:rFonts w:hint="eastAsia"/>
          <w:sz w:val="24"/>
          <w:szCs w:val="24"/>
        </w:rPr>
        <w:t>案件</w:t>
      </w:r>
      <w:r w:rsidR="00673E39">
        <w:rPr>
          <w:rFonts w:hint="eastAsia"/>
          <w:sz w:val="24"/>
          <w:szCs w:val="24"/>
        </w:rPr>
        <w:t>法院</w:t>
      </w:r>
      <w:r w:rsidR="00673E39" w:rsidRPr="00673E39">
        <w:rPr>
          <w:rFonts w:hint="eastAsia"/>
          <w:sz w:val="24"/>
          <w:szCs w:val="24"/>
        </w:rPr>
        <w:t>受理的相关通报】</w:t>
      </w:r>
    </w:p>
    <w:p w14:paraId="65DADB83" w14:textId="15268B7A" w:rsidR="00452804" w:rsidRDefault="00452804"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452804">
        <w:rPr>
          <w:rFonts w:asciiTheme="minorEastAsia" w:eastAsiaTheme="minorEastAsia" w:hAnsiTheme="minorEastAsia" w:hint="eastAsia"/>
          <w:color w:val="2F2F2F"/>
        </w:rPr>
        <w:t>人民法院受理证券市场虚假陈述侵权民事赔偿案件后，应当在</w:t>
      </w:r>
      <w:r w:rsidRPr="001E73F2">
        <w:rPr>
          <w:rFonts w:asciiTheme="minorEastAsia" w:eastAsiaTheme="minorEastAsia" w:hAnsiTheme="minorEastAsia" w:hint="eastAsia"/>
          <w:color w:val="E36C0A" w:themeColor="accent6" w:themeShade="BF"/>
        </w:rPr>
        <w:t>十个工作日内将案件基本情况向发行人、上市或者挂牌公司所在辖区的中国证券监督管理委员会（以下简称中国证监会）派出机构通报，</w:t>
      </w:r>
      <w:r w:rsidRPr="00452804">
        <w:rPr>
          <w:rFonts w:asciiTheme="minorEastAsia" w:eastAsiaTheme="minorEastAsia" w:hAnsiTheme="minorEastAsia" w:hint="eastAsia"/>
          <w:color w:val="2F2F2F"/>
        </w:rPr>
        <w:t>相关派出机构接到通报后应当及时向中国证监会报告。</w:t>
      </w:r>
    </w:p>
    <w:p w14:paraId="4D6A1AC5" w14:textId="77777777" w:rsidR="00673E39" w:rsidRPr="00452804" w:rsidRDefault="00673E39"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p>
    <w:p w14:paraId="3081F76D" w14:textId="7A91D73F" w:rsidR="00673E39" w:rsidRPr="00673E39" w:rsidRDefault="00452804" w:rsidP="00673E39">
      <w:pPr>
        <w:pStyle w:val="1"/>
        <w:spacing w:before="50" w:after="50" w:line="360" w:lineRule="auto"/>
        <w:ind w:firstLineChars="196" w:firstLine="472"/>
        <w:rPr>
          <w:rFonts w:hint="eastAsia"/>
          <w:sz w:val="24"/>
          <w:szCs w:val="24"/>
        </w:rPr>
      </w:pPr>
      <w:r w:rsidRPr="00673E39">
        <w:rPr>
          <w:rFonts w:hint="eastAsia"/>
          <w:sz w:val="24"/>
          <w:szCs w:val="24"/>
        </w:rPr>
        <w:t>二、</w:t>
      </w:r>
      <w:r w:rsidR="00673E39" w:rsidRPr="00673E39">
        <w:rPr>
          <w:rFonts w:hint="eastAsia"/>
          <w:sz w:val="24"/>
          <w:szCs w:val="24"/>
        </w:rPr>
        <w:t>【</w:t>
      </w:r>
      <w:r w:rsidR="00673E39" w:rsidRPr="00673E39">
        <w:rPr>
          <w:rFonts w:hint="eastAsia"/>
          <w:sz w:val="24"/>
          <w:szCs w:val="24"/>
        </w:rPr>
        <w:t>当事人举证，法院调查取证、部门配合及质斑点</w:t>
      </w:r>
      <w:r w:rsidR="00673E39" w:rsidRPr="00673E39">
        <w:rPr>
          <w:rFonts w:hint="eastAsia"/>
          <w:sz w:val="24"/>
          <w:szCs w:val="24"/>
        </w:rPr>
        <w:t>】</w:t>
      </w:r>
    </w:p>
    <w:p w14:paraId="18242CD3" w14:textId="04FDF083" w:rsidR="00452804" w:rsidRPr="00452804" w:rsidRDefault="00452804"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452804">
        <w:rPr>
          <w:rFonts w:asciiTheme="minorEastAsia" w:eastAsiaTheme="minorEastAsia" w:hAnsiTheme="minorEastAsia" w:hint="eastAsia"/>
          <w:color w:val="2F2F2F"/>
        </w:rPr>
        <w:t xml:space="preserve"> </w:t>
      </w:r>
      <w:r w:rsidRPr="001E73F2">
        <w:rPr>
          <w:rFonts w:asciiTheme="minorEastAsia" w:eastAsiaTheme="minorEastAsia" w:hAnsiTheme="minorEastAsia" w:hint="eastAsia"/>
          <w:color w:val="E36C0A" w:themeColor="accent6" w:themeShade="BF"/>
        </w:rPr>
        <w:t>当事人对自己的主张，应当提供证据加以证明</w:t>
      </w:r>
      <w:r w:rsidRPr="00452804">
        <w:rPr>
          <w:rFonts w:asciiTheme="minorEastAsia" w:eastAsiaTheme="minorEastAsia" w:hAnsiTheme="minorEastAsia" w:hint="eastAsia"/>
          <w:color w:val="2F2F2F"/>
        </w:rPr>
        <w:t>。</w:t>
      </w:r>
      <w:r w:rsidRPr="001E73F2">
        <w:rPr>
          <w:rFonts w:asciiTheme="minorEastAsia" w:eastAsiaTheme="minorEastAsia" w:hAnsiTheme="minorEastAsia" w:hint="eastAsia"/>
          <w:color w:val="E36C0A" w:themeColor="accent6" w:themeShade="BF"/>
        </w:rPr>
        <w:t>为了查明事实</w:t>
      </w:r>
      <w:r w:rsidRPr="00452804">
        <w:rPr>
          <w:rFonts w:asciiTheme="minorEastAsia" w:eastAsiaTheme="minorEastAsia" w:hAnsiTheme="minorEastAsia" w:hint="eastAsia"/>
          <w:color w:val="2F2F2F"/>
        </w:rPr>
        <w:t>，人民</w:t>
      </w:r>
      <w:r w:rsidRPr="001E73F2">
        <w:rPr>
          <w:rFonts w:asciiTheme="minorEastAsia" w:eastAsiaTheme="minorEastAsia" w:hAnsiTheme="minorEastAsia" w:hint="eastAsia"/>
          <w:color w:val="E36C0A" w:themeColor="accent6" w:themeShade="BF"/>
        </w:rPr>
        <w:t>法院可以依法</w:t>
      </w:r>
      <w:r w:rsidRPr="00452804">
        <w:rPr>
          <w:rFonts w:asciiTheme="minorEastAsia" w:eastAsiaTheme="minorEastAsia" w:hAnsiTheme="minorEastAsia" w:hint="eastAsia"/>
          <w:color w:val="2F2F2F"/>
        </w:rPr>
        <w:t>向中国证监会有关部门或者派出机构</w:t>
      </w:r>
      <w:r w:rsidRPr="001E73F2">
        <w:rPr>
          <w:rFonts w:asciiTheme="minorEastAsia" w:eastAsiaTheme="minorEastAsia" w:hAnsiTheme="minorEastAsia" w:hint="eastAsia"/>
          <w:color w:val="E36C0A" w:themeColor="accent6" w:themeShade="BF"/>
        </w:rPr>
        <w:t>调查收集有关证据</w:t>
      </w:r>
      <w:r w:rsidRPr="00452804">
        <w:rPr>
          <w:rFonts w:asciiTheme="minorEastAsia" w:eastAsiaTheme="minorEastAsia" w:hAnsiTheme="minorEastAsia" w:hint="eastAsia"/>
          <w:color w:val="2F2F2F"/>
        </w:rPr>
        <w:t>。</w:t>
      </w:r>
    </w:p>
    <w:p w14:paraId="3ED85446" w14:textId="32F16C56" w:rsidR="00452804" w:rsidRPr="00452804" w:rsidRDefault="00452804" w:rsidP="00452804">
      <w:pPr>
        <w:pStyle w:val="a3"/>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452804">
        <w:rPr>
          <w:rFonts w:asciiTheme="minorEastAsia" w:eastAsiaTheme="minorEastAsia" w:hAnsiTheme="minorEastAsia" w:hint="eastAsia"/>
          <w:color w:val="2F2F2F"/>
        </w:rPr>
        <w:lastRenderedPageBreak/>
        <w:t xml:space="preserve">　　人民法院和中国证监会有关部门或者派出机构在调查收集证据时要加强协调配合，以有利于监管部门履行监管职责与人民法院查明民事案件事实为原则。在充分沟通的基础上，人民法院依照《</w:t>
      </w:r>
      <w:hyperlink r:id="rId8" w:history="1">
        <w:r w:rsidRPr="00E37E7B">
          <w:rPr>
            <w:rStyle w:val="a5"/>
            <w:rFonts w:asciiTheme="minorEastAsia" w:eastAsiaTheme="minorEastAsia" w:hAnsiTheme="minorEastAsia" w:hint="eastAsia"/>
          </w:rPr>
          <w:t>中华人民共和国民事诉讼法</w:t>
        </w:r>
      </w:hyperlink>
      <w:r w:rsidRPr="00452804">
        <w:rPr>
          <w:rFonts w:asciiTheme="minorEastAsia" w:eastAsiaTheme="minorEastAsia" w:hAnsiTheme="minorEastAsia" w:hint="eastAsia"/>
          <w:color w:val="2F2F2F"/>
        </w:rPr>
        <w:t>》及相关司法解释等规定调查收集证据，中国证监会有关部门或者派出机构依法依规予以协助配合。</w:t>
      </w:r>
    </w:p>
    <w:p w14:paraId="0C25CF0F" w14:textId="37FB94FD" w:rsidR="00452804" w:rsidRDefault="00452804"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452804">
        <w:rPr>
          <w:rFonts w:asciiTheme="minorEastAsia" w:eastAsiaTheme="minorEastAsia" w:hAnsiTheme="minorEastAsia" w:hint="eastAsia"/>
          <w:color w:val="2F2F2F"/>
        </w:rPr>
        <w:t>人民法院调查收集的证据，应当按照法定程序当庭出示并由各方当事人质证。但是涉及国家秘密、工作秘密、商业秘密和个人隐私或者法律规定其他应当保密的证据，不得公开质证。</w:t>
      </w:r>
    </w:p>
    <w:p w14:paraId="02A2BB64" w14:textId="77777777" w:rsidR="00673E39" w:rsidRPr="00452804" w:rsidRDefault="00673E39"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p>
    <w:p w14:paraId="47FB8A5E" w14:textId="0A31B450" w:rsidR="00673E39" w:rsidRPr="00673E39" w:rsidRDefault="00452804" w:rsidP="00673E39">
      <w:pPr>
        <w:pStyle w:val="1"/>
        <w:spacing w:before="50" w:after="50" w:line="360" w:lineRule="auto"/>
        <w:ind w:firstLineChars="196" w:firstLine="472"/>
        <w:rPr>
          <w:rFonts w:hint="eastAsia"/>
          <w:sz w:val="24"/>
          <w:szCs w:val="24"/>
        </w:rPr>
      </w:pPr>
      <w:r w:rsidRPr="00673E39">
        <w:rPr>
          <w:rFonts w:hint="eastAsia"/>
          <w:sz w:val="24"/>
          <w:szCs w:val="24"/>
        </w:rPr>
        <w:t>三、</w:t>
      </w:r>
      <w:r w:rsidR="00673E39" w:rsidRPr="00673E39">
        <w:rPr>
          <w:rFonts w:hint="eastAsia"/>
          <w:sz w:val="24"/>
          <w:szCs w:val="24"/>
        </w:rPr>
        <w:t>【</w:t>
      </w:r>
      <w:r w:rsidR="00673E39" w:rsidRPr="00673E39">
        <w:rPr>
          <w:rFonts w:hint="eastAsia"/>
          <w:sz w:val="24"/>
          <w:szCs w:val="24"/>
        </w:rPr>
        <w:t>行政调查不影响法院审理</w:t>
      </w:r>
      <w:r w:rsidR="00673E39" w:rsidRPr="00673E39">
        <w:rPr>
          <w:rFonts w:hint="eastAsia"/>
          <w:sz w:val="24"/>
          <w:szCs w:val="24"/>
        </w:rPr>
        <w:t>】</w:t>
      </w:r>
    </w:p>
    <w:p w14:paraId="21852CD2" w14:textId="17F80301" w:rsidR="00452804" w:rsidRDefault="00452804"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452804">
        <w:rPr>
          <w:rFonts w:asciiTheme="minorEastAsia" w:eastAsiaTheme="minorEastAsia" w:hAnsiTheme="minorEastAsia" w:hint="eastAsia"/>
          <w:color w:val="2F2F2F"/>
        </w:rPr>
        <w:t>人民法院经审查，认为中国证监会有关部门或者派出机构对涉诉虚假陈述的立案调查不影响民事案件审理的，应当继续审理。</w:t>
      </w:r>
    </w:p>
    <w:p w14:paraId="2FDF2001" w14:textId="77777777" w:rsidR="00673E39" w:rsidRPr="00452804" w:rsidRDefault="00673E39"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p>
    <w:p w14:paraId="331850D2" w14:textId="175A52A1" w:rsidR="00673E39" w:rsidRPr="00673E39" w:rsidRDefault="00452804" w:rsidP="00673E39">
      <w:pPr>
        <w:pStyle w:val="1"/>
        <w:spacing w:before="50" w:after="50" w:line="360" w:lineRule="auto"/>
        <w:ind w:firstLineChars="196" w:firstLine="472"/>
        <w:rPr>
          <w:rFonts w:hint="eastAsia"/>
          <w:sz w:val="24"/>
          <w:szCs w:val="24"/>
        </w:rPr>
      </w:pPr>
      <w:r w:rsidRPr="00673E39">
        <w:rPr>
          <w:rFonts w:hint="eastAsia"/>
          <w:sz w:val="24"/>
          <w:szCs w:val="24"/>
        </w:rPr>
        <w:t>四</w:t>
      </w:r>
      <w:r w:rsidR="00673E39">
        <w:rPr>
          <w:rFonts w:hint="eastAsia"/>
          <w:sz w:val="24"/>
          <w:szCs w:val="24"/>
        </w:rPr>
        <w:t>、</w:t>
      </w:r>
      <w:r w:rsidR="00673E39" w:rsidRPr="00673E39">
        <w:rPr>
          <w:rFonts w:hint="eastAsia"/>
          <w:sz w:val="24"/>
          <w:szCs w:val="24"/>
        </w:rPr>
        <w:t>【</w:t>
      </w:r>
      <w:r w:rsidR="00673E39" w:rsidRPr="00673E39">
        <w:rPr>
          <w:rFonts w:hint="eastAsia"/>
          <w:sz w:val="24"/>
          <w:szCs w:val="24"/>
        </w:rPr>
        <w:t>征求专业意见</w:t>
      </w:r>
      <w:r w:rsidR="001E73F2">
        <w:rPr>
          <w:rFonts w:hint="eastAsia"/>
          <w:sz w:val="24"/>
          <w:szCs w:val="24"/>
        </w:rPr>
        <w:t>、及不计入审限</w:t>
      </w:r>
      <w:r w:rsidR="00673E39" w:rsidRPr="00673E39">
        <w:rPr>
          <w:rFonts w:hint="eastAsia"/>
          <w:sz w:val="24"/>
          <w:szCs w:val="24"/>
        </w:rPr>
        <w:t>】</w:t>
      </w:r>
    </w:p>
    <w:p w14:paraId="0D153AE0" w14:textId="59F1CBF6" w:rsidR="00452804" w:rsidRDefault="00452804"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452804">
        <w:rPr>
          <w:rFonts w:asciiTheme="minorEastAsia" w:eastAsiaTheme="minorEastAsia" w:hAnsiTheme="minorEastAsia" w:hint="eastAsia"/>
          <w:color w:val="2F2F2F"/>
        </w:rPr>
        <w:t>案件审理过程中，人民法院可以就诉争虚假陈述行为违反信息披露义务规定情况、对证券交易价格的影响、损失计算等专业问题征求中国证监会或者相关派出机构、证券交易场所、证券业自律管理组织、投资者保护机构等单位的意见。</w:t>
      </w:r>
      <w:r w:rsidRPr="001E73F2">
        <w:rPr>
          <w:rFonts w:asciiTheme="minorEastAsia" w:eastAsiaTheme="minorEastAsia" w:hAnsiTheme="minorEastAsia" w:hint="eastAsia"/>
          <w:color w:val="E36C0A" w:themeColor="accent6" w:themeShade="BF"/>
        </w:rPr>
        <w:t>征求意见的时间，不计入案件审理期限</w:t>
      </w:r>
      <w:r w:rsidRPr="00452804">
        <w:rPr>
          <w:rFonts w:asciiTheme="minorEastAsia" w:eastAsiaTheme="minorEastAsia" w:hAnsiTheme="minorEastAsia" w:hint="eastAsia"/>
          <w:color w:val="2F2F2F"/>
        </w:rPr>
        <w:t>。</w:t>
      </w:r>
    </w:p>
    <w:p w14:paraId="1CA16394" w14:textId="77777777" w:rsidR="00673E39" w:rsidRPr="00452804" w:rsidRDefault="00673E39"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p>
    <w:p w14:paraId="21EC5108" w14:textId="0F4F62B9" w:rsidR="00673E39" w:rsidRPr="00673E39" w:rsidRDefault="00452804" w:rsidP="00673E39">
      <w:pPr>
        <w:pStyle w:val="1"/>
        <w:spacing w:before="50" w:after="50" w:line="360" w:lineRule="auto"/>
        <w:ind w:firstLineChars="196" w:firstLine="472"/>
        <w:rPr>
          <w:rFonts w:hint="eastAsia"/>
          <w:sz w:val="24"/>
          <w:szCs w:val="24"/>
        </w:rPr>
      </w:pPr>
      <w:r w:rsidRPr="00673E39">
        <w:rPr>
          <w:rFonts w:hint="eastAsia"/>
          <w:sz w:val="24"/>
          <w:szCs w:val="24"/>
        </w:rPr>
        <w:t>五、</w:t>
      </w:r>
      <w:r w:rsidR="00673E39" w:rsidRPr="00673E39">
        <w:rPr>
          <w:rFonts w:hint="eastAsia"/>
          <w:sz w:val="24"/>
          <w:szCs w:val="24"/>
        </w:rPr>
        <w:t>【</w:t>
      </w:r>
      <w:r w:rsidR="00673E39" w:rsidRPr="00673E39">
        <w:rPr>
          <w:rFonts w:hint="eastAsia"/>
          <w:sz w:val="24"/>
          <w:szCs w:val="24"/>
        </w:rPr>
        <w:t>取消前置程序后的证券案件审理机制</w:t>
      </w:r>
      <w:r w:rsidR="00673E39" w:rsidRPr="00673E39">
        <w:rPr>
          <w:rFonts w:hint="eastAsia"/>
          <w:sz w:val="24"/>
          <w:szCs w:val="24"/>
        </w:rPr>
        <w:t>】</w:t>
      </w:r>
    </w:p>
    <w:p w14:paraId="02805AE7" w14:textId="01ED6E96" w:rsidR="00452804" w:rsidRDefault="00452804"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bookmarkStart w:id="0" w:name="_GoBack"/>
      <w:r w:rsidRPr="001E73F2">
        <w:rPr>
          <w:rFonts w:asciiTheme="minorEastAsia" w:eastAsiaTheme="minorEastAsia" w:hAnsiTheme="minorEastAsia" w:hint="eastAsia"/>
          <w:color w:val="E36C0A" w:themeColor="accent6" w:themeShade="BF"/>
        </w:rPr>
        <w:t>取消前置程序</w:t>
      </w:r>
      <w:bookmarkEnd w:id="0"/>
      <w:r w:rsidRPr="00452804">
        <w:rPr>
          <w:rFonts w:asciiTheme="minorEastAsia" w:eastAsiaTheme="minorEastAsia" w:hAnsiTheme="minorEastAsia" w:hint="eastAsia"/>
          <w:color w:val="2F2F2F"/>
        </w:rPr>
        <w:t>后，人民法院要根据辖区内的实际情况，在法律规定的范围内积极开展专家咨询和专业人士担任人民陪审员的探索，中国证监会派出机构和有关部门要做好相关专家、专业人士担任人民陪审员的推荐等配合工作，完善证券案件审理体制机制，不断提升案件审理的专业化水平。</w:t>
      </w:r>
    </w:p>
    <w:p w14:paraId="7307EC93" w14:textId="77777777" w:rsidR="00673E39" w:rsidRPr="00452804" w:rsidRDefault="00673E39"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p>
    <w:p w14:paraId="738B1B36" w14:textId="56F997F8" w:rsidR="00673E39" w:rsidRDefault="00452804" w:rsidP="00673E39">
      <w:pPr>
        <w:pStyle w:val="1"/>
        <w:spacing w:before="50" w:after="50" w:line="360" w:lineRule="auto"/>
        <w:ind w:firstLineChars="196" w:firstLine="472"/>
        <w:rPr>
          <w:rFonts w:asciiTheme="minorEastAsia" w:hAnsiTheme="minorEastAsia" w:hint="eastAsia"/>
          <w:color w:val="2F2F2F"/>
        </w:rPr>
      </w:pPr>
      <w:r w:rsidRPr="00673E39">
        <w:rPr>
          <w:rFonts w:hint="eastAsia"/>
          <w:sz w:val="24"/>
          <w:szCs w:val="24"/>
        </w:rPr>
        <w:lastRenderedPageBreak/>
        <w:t>六、</w:t>
      </w:r>
      <w:r w:rsidR="00673E39" w:rsidRPr="00673E39">
        <w:rPr>
          <w:rFonts w:hint="eastAsia"/>
          <w:sz w:val="24"/>
          <w:szCs w:val="24"/>
        </w:rPr>
        <w:t>【</w:t>
      </w:r>
      <w:r w:rsidR="00673E39">
        <w:rPr>
          <w:rFonts w:hint="eastAsia"/>
          <w:sz w:val="24"/>
          <w:szCs w:val="24"/>
        </w:rPr>
        <w:t>保密纪律和工作纪律</w:t>
      </w:r>
      <w:r w:rsidR="00673E39" w:rsidRPr="00673E39">
        <w:rPr>
          <w:rFonts w:hint="eastAsia"/>
          <w:sz w:val="24"/>
          <w:szCs w:val="24"/>
        </w:rPr>
        <w:t>】</w:t>
      </w:r>
    </w:p>
    <w:p w14:paraId="112BF3E3" w14:textId="3A9FD5D0" w:rsidR="00452804" w:rsidRDefault="00452804"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452804">
        <w:rPr>
          <w:rFonts w:asciiTheme="minorEastAsia" w:eastAsiaTheme="minorEastAsia" w:hAnsiTheme="minorEastAsia" w:hint="eastAsia"/>
          <w:color w:val="2F2F2F"/>
        </w:rPr>
        <w:t>在协调沟通过程中，相关人员要严格遵守保密纪律和工作纪律，不得泄露国家秘密、工作秘密、商业秘密和个人隐私，不得对民事诉讼案件的审理和行政案件的调查施加不正当影响。</w:t>
      </w:r>
    </w:p>
    <w:p w14:paraId="7CDE3555" w14:textId="77777777" w:rsidR="001E73F2" w:rsidRPr="00452804" w:rsidRDefault="001E73F2" w:rsidP="00673E39">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p>
    <w:p w14:paraId="4CA5EAFB" w14:textId="42B64ED2" w:rsidR="001E73F2" w:rsidRPr="001E73F2" w:rsidRDefault="00452804" w:rsidP="001E73F2">
      <w:pPr>
        <w:pStyle w:val="1"/>
        <w:spacing w:before="50" w:after="50" w:line="360" w:lineRule="auto"/>
        <w:ind w:firstLineChars="196" w:firstLine="472"/>
        <w:rPr>
          <w:rFonts w:hint="eastAsia"/>
          <w:sz w:val="24"/>
          <w:szCs w:val="24"/>
        </w:rPr>
      </w:pPr>
      <w:r w:rsidRPr="001E73F2">
        <w:rPr>
          <w:rFonts w:hint="eastAsia"/>
          <w:sz w:val="24"/>
          <w:szCs w:val="24"/>
        </w:rPr>
        <w:t>七、</w:t>
      </w:r>
      <w:r w:rsidR="001E73F2" w:rsidRPr="00673E39">
        <w:rPr>
          <w:rFonts w:hint="eastAsia"/>
          <w:sz w:val="24"/>
          <w:szCs w:val="24"/>
        </w:rPr>
        <w:t>【</w:t>
      </w:r>
      <w:r w:rsidR="001E73F2" w:rsidRPr="001E73F2">
        <w:rPr>
          <w:rFonts w:hint="eastAsia"/>
          <w:sz w:val="24"/>
          <w:szCs w:val="24"/>
        </w:rPr>
        <w:t>学习培训</w:t>
      </w:r>
      <w:r w:rsidR="001E73F2" w:rsidRPr="00673E39">
        <w:rPr>
          <w:rFonts w:hint="eastAsia"/>
          <w:sz w:val="24"/>
          <w:szCs w:val="24"/>
        </w:rPr>
        <w:t>】</w:t>
      </w:r>
    </w:p>
    <w:p w14:paraId="5E380622" w14:textId="1434792D" w:rsidR="00452804" w:rsidRPr="00452804" w:rsidRDefault="00452804" w:rsidP="001E73F2">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452804">
        <w:rPr>
          <w:rFonts w:asciiTheme="minorEastAsia" w:eastAsiaTheme="minorEastAsia" w:hAnsiTheme="minorEastAsia" w:hint="eastAsia"/>
          <w:color w:val="2F2F2F"/>
        </w:rPr>
        <w:t>地方各级人民法院、中国证监会各派出机构和相关单位要积极组织学习培训，拓宽培训形式，尽快准确掌握《</w:t>
      </w:r>
      <w:hyperlink r:id="rId9" w:history="1">
        <w:r w:rsidRPr="004B01EA">
          <w:rPr>
            <w:rStyle w:val="a5"/>
            <w:rFonts w:asciiTheme="minorEastAsia" w:eastAsiaTheme="minorEastAsia" w:hAnsiTheme="minorEastAsia" w:hint="eastAsia"/>
          </w:rPr>
          <w:t>若干规定</w:t>
        </w:r>
      </w:hyperlink>
      <w:r w:rsidRPr="00452804">
        <w:rPr>
          <w:rFonts w:asciiTheme="minorEastAsia" w:eastAsiaTheme="minorEastAsia" w:hAnsiTheme="minorEastAsia" w:hint="eastAsia"/>
          <w:color w:val="2F2F2F"/>
        </w:rPr>
        <w:t>》的内容与精神，切实提高案件审理和监管执法水平。对于适用中存在的问题,请按隶属关系及时层报最高人民法院和中国证监会。</w:t>
      </w:r>
    </w:p>
    <w:p w14:paraId="26503FD0" w14:textId="77777777" w:rsidR="00452804" w:rsidRPr="00452804" w:rsidRDefault="00452804" w:rsidP="00452804">
      <w:pPr>
        <w:pStyle w:val="a3"/>
        <w:shd w:val="clear" w:color="auto" w:fill="FFFFFF"/>
        <w:spacing w:beforeLines="50" w:before="156" w:beforeAutospacing="0" w:afterLines="50" w:after="156" w:afterAutospacing="0" w:line="360" w:lineRule="auto"/>
        <w:jc w:val="right"/>
        <w:rPr>
          <w:rFonts w:asciiTheme="minorEastAsia" w:eastAsiaTheme="minorEastAsia" w:hAnsiTheme="minorEastAsia"/>
          <w:color w:val="2F2F2F"/>
        </w:rPr>
      </w:pPr>
      <w:r w:rsidRPr="00452804">
        <w:rPr>
          <w:rFonts w:asciiTheme="minorEastAsia" w:eastAsiaTheme="minorEastAsia" w:hAnsiTheme="minorEastAsia" w:hint="eastAsia"/>
          <w:color w:val="2F2F2F"/>
        </w:rPr>
        <w:t xml:space="preserve">　　最高人民法院       中国证券监督管理委员会</w:t>
      </w:r>
    </w:p>
    <w:p w14:paraId="6FACD2E5" w14:textId="77777777" w:rsidR="00452804" w:rsidRPr="00452804" w:rsidRDefault="00452804" w:rsidP="00452804">
      <w:pPr>
        <w:pStyle w:val="a3"/>
        <w:shd w:val="clear" w:color="auto" w:fill="FFFFFF"/>
        <w:spacing w:beforeLines="50" w:before="156" w:beforeAutospacing="0" w:afterLines="50" w:after="156" w:afterAutospacing="0" w:line="360" w:lineRule="auto"/>
        <w:jc w:val="right"/>
        <w:rPr>
          <w:rFonts w:asciiTheme="minorEastAsia" w:eastAsiaTheme="minorEastAsia" w:hAnsiTheme="minorEastAsia"/>
          <w:color w:val="2F2F2F"/>
        </w:rPr>
      </w:pPr>
      <w:r w:rsidRPr="00452804">
        <w:rPr>
          <w:rFonts w:asciiTheme="minorEastAsia" w:eastAsiaTheme="minorEastAsia" w:hAnsiTheme="minorEastAsia" w:hint="eastAsia"/>
          <w:color w:val="2F2F2F"/>
        </w:rPr>
        <w:t xml:space="preserve">　　2022年1月21日</w:t>
      </w:r>
    </w:p>
    <w:p w14:paraId="54238E35" w14:textId="77777777" w:rsidR="00452804" w:rsidRPr="00452804" w:rsidRDefault="00452804" w:rsidP="00452804">
      <w:pPr>
        <w:spacing w:beforeLines="50" w:before="156" w:afterLines="50" w:after="156" w:line="360" w:lineRule="auto"/>
        <w:rPr>
          <w:rFonts w:asciiTheme="minorEastAsia" w:hAnsiTheme="minorEastAsia"/>
          <w:sz w:val="24"/>
          <w:szCs w:val="24"/>
        </w:rPr>
      </w:pPr>
    </w:p>
    <w:p w14:paraId="73135A32" w14:textId="77777777" w:rsidR="00452804" w:rsidRPr="00452804" w:rsidRDefault="00452804" w:rsidP="00452804">
      <w:pPr>
        <w:spacing w:beforeLines="50" w:before="156" w:afterLines="50" w:after="156" w:line="360" w:lineRule="auto"/>
        <w:rPr>
          <w:rFonts w:asciiTheme="minorEastAsia" w:hAnsiTheme="minorEastAsia"/>
          <w:sz w:val="24"/>
          <w:szCs w:val="24"/>
        </w:rPr>
      </w:pPr>
    </w:p>
    <w:sectPr w:rsidR="00452804" w:rsidRPr="00452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55"/>
    <w:rsid w:val="001E73F2"/>
    <w:rsid w:val="003D3B55"/>
    <w:rsid w:val="00452804"/>
    <w:rsid w:val="004B01EA"/>
    <w:rsid w:val="00600FFB"/>
    <w:rsid w:val="00673E39"/>
    <w:rsid w:val="008370A6"/>
    <w:rsid w:val="008F675B"/>
    <w:rsid w:val="00E3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73E3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8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2804"/>
    <w:rPr>
      <w:b/>
      <w:bCs/>
    </w:rPr>
  </w:style>
  <w:style w:type="character" w:styleId="a5">
    <w:name w:val="Hyperlink"/>
    <w:basedOn w:val="a0"/>
    <w:uiPriority w:val="99"/>
    <w:unhideWhenUsed/>
    <w:rsid w:val="00E37E7B"/>
    <w:rPr>
      <w:color w:val="0000FF" w:themeColor="hyperlink"/>
      <w:u w:val="single"/>
    </w:rPr>
  </w:style>
  <w:style w:type="character" w:customStyle="1" w:styleId="1Char">
    <w:name w:val="标题 1 Char"/>
    <w:basedOn w:val="a0"/>
    <w:link w:val="1"/>
    <w:uiPriority w:val="9"/>
    <w:rsid w:val="00673E3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73E3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8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2804"/>
    <w:rPr>
      <w:b/>
      <w:bCs/>
    </w:rPr>
  </w:style>
  <w:style w:type="character" w:styleId="a5">
    <w:name w:val="Hyperlink"/>
    <w:basedOn w:val="a0"/>
    <w:uiPriority w:val="99"/>
    <w:unhideWhenUsed/>
    <w:rsid w:val="00E37E7B"/>
    <w:rPr>
      <w:color w:val="0000FF" w:themeColor="hyperlink"/>
      <w:u w:val="single"/>
    </w:rPr>
  </w:style>
  <w:style w:type="character" w:customStyle="1" w:styleId="1Char">
    <w:name w:val="标题 1 Char"/>
    <w:basedOn w:val="a0"/>
    <w:link w:val="1"/>
    <w:uiPriority w:val="9"/>
    <w:rsid w:val="00673E3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14291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773.html" TargetMode="External"/><Relationship Id="rId3" Type="http://schemas.openxmlformats.org/officeDocument/2006/relationships/settings" Target="settings.xml"/><Relationship Id="rId7" Type="http://schemas.openxmlformats.org/officeDocument/2006/relationships/hyperlink" Target="&#33509;&#24178;&#35268;&#234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fb86.com/index/News/detail/newsid/10015.html" TargetMode="External"/><Relationship Id="rId11" Type="http://schemas.openxmlformats.org/officeDocument/2006/relationships/theme" Target="theme/theme1.xml"/><Relationship Id="rId5" Type="http://schemas.openxmlformats.org/officeDocument/2006/relationships/hyperlink" Target="http://ssfb86.com/index/News/detail/newsid/1001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33509;&#24178;&#35268;&#234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4</cp:revision>
  <dcterms:created xsi:type="dcterms:W3CDTF">2022-01-22T23:45:00Z</dcterms:created>
  <dcterms:modified xsi:type="dcterms:W3CDTF">2022-01-24T05:54:00Z</dcterms:modified>
</cp:coreProperties>
</file>