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9" w:rsidRDefault="00AD123C" w:rsidP="007B20CC">
      <w:pPr>
        <w:spacing w:beforeLines="50" w:beforeAutospacing="0" w:afterLines="50" w:afterAutospacing="0" w:line="360" w:lineRule="auto"/>
        <w:rPr>
          <w:rFonts w:ascii="宋体" w:eastAsia="宋体" w:hAnsi="宋体"/>
        </w:rPr>
      </w:pPr>
      <w:r>
        <w:rPr>
          <w:rFonts w:ascii="宋体" w:eastAsia="宋体" w:hAnsi="宋体" w:hint="eastAsia"/>
        </w:rPr>
        <w:t>2</w:t>
      </w:r>
      <w:r>
        <w:rPr>
          <w:rFonts w:ascii="宋体" w:eastAsia="宋体" w:hAnsi="宋体"/>
        </w:rPr>
        <w:t>020</w:t>
      </w:r>
      <w:r>
        <w:rPr>
          <w:rFonts w:ascii="宋体" w:eastAsia="宋体" w:hAnsi="宋体" w:hint="eastAsia"/>
        </w:rPr>
        <w:t>税务稽查典型案例评析之一</w:t>
      </w:r>
    </w:p>
    <w:p w:rsidR="00AD123C" w:rsidRDefault="00AD123C" w:rsidP="007B20CC">
      <w:pPr>
        <w:spacing w:beforeLines="50" w:beforeAutospacing="0" w:afterLines="50" w:afterAutospacing="0" w:line="360" w:lineRule="auto"/>
        <w:rPr>
          <w:rFonts w:ascii="宋体" w:eastAsia="宋体" w:hAnsi="宋体" w:hint="eastAsia"/>
        </w:rPr>
      </w:pPr>
    </w:p>
    <w:p w:rsidR="007C01B2" w:rsidRPr="007C01B2" w:rsidRDefault="007B20CC" w:rsidP="007C01B2">
      <w:pPr>
        <w:pStyle w:val="1"/>
        <w:spacing w:beforeLines="50" w:beforeAutospacing="0" w:afterLines="50" w:afterAutospacing="0" w:line="360" w:lineRule="auto"/>
        <w:rPr>
          <w:rFonts w:ascii="宋体" w:eastAsia="宋体" w:hAnsi="宋体" w:hint="eastAsia"/>
          <w:sz w:val="24"/>
          <w:szCs w:val="24"/>
        </w:rPr>
      </w:pPr>
      <w:r w:rsidRPr="007C01B2">
        <w:rPr>
          <w:rFonts w:ascii="宋体" w:eastAsia="宋体" w:hAnsi="宋体" w:hint="eastAsia"/>
          <w:sz w:val="24"/>
          <w:szCs w:val="24"/>
        </w:rPr>
        <w:t>摘要</w:t>
      </w:r>
    </w:p>
    <w:p w:rsidR="007C01B2" w:rsidRDefault="007C01B2" w:rsidP="007C01B2">
      <w:pPr>
        <w:pStyle w:val="a8"/>
        <w:spacing w:beforeLines="50" w:beforeAutospacing="0" w:afterLines="50" w:afterAutospacing="0" w:line="360" w:lineRule="auto"/>
        <w:ind w:firstLine="386"/>
        <w:rPr>
          <w:rFonts w:hint="eastAsia"/>
          <w:color w:val="C45911" w:themeColor="accent2" w:themeShade="BF"/>
        </w:rPr>
      </w:pPr>
    </w:p>
    <w:p w:rsidR="007B20CC" w:rsidRPr="005C7490" w:rsidRDefault="007C01B2" w:rsidP="007C01B2">
      <w:pPr>
        <w:pStyle w:val="a8"/>
        <w:spacing w:beforeLines="50" w:beforeAutospacing="0" w:afterLines="50" w:afterAutospacing="0" w:line="360" w:lineRule="auto"/>
        <w:ind w:firstLine="386"/>
        <w:rPr>
          <w:rFonts w:ascii="楷体" w:eastAsia="楷体" w:hAnsi="楷体" w:hint="eastAsia"/>
          <w:color w:val="0070C0"/>
        </w:rPr>
      </w:pPr>
      <w:r w:rsidRPr="005C7490">
        <w:rPr>
          <w:rFonts w:ascii="楷体" w:eastAsia="楷体" w:hAnsi="楷体" w:hint="eastAsia"/>
          <w:color w:val="0070C0"/>
        </w:rPr>
        <w:t>一、与天津市出台的政策相比，《</w:t>
      </w:r>
      <w:hyperlink r:id="rId6" w:history="1">
        <w:r w:rsidRPr="005C7490">
          <w:rPr>
            <w:rStyle w:val="a4"/>
            <w:rFonts w:ascii="楷体" w:eastAsia="楷体" w:hAnsi="楷体" w:hint="eastAsia"/>
            <w:color w:val="0070C0"/>
          </w:rPr>
          <w:t>中华人民共和国税收征收管理法</w:t>
        </w:r>
      </w:hyperlink>
      <w:r w:rsidRPr="005C7490">
        <w:rPr>
          <w:rFonts w:ascii="楷体" w:eastAsia="楷体" w:hAnsi="楷体" w:hint="eastAsia"/>
          <w:color w:val="0070C0"/>
        </w:rPr>
        <w:t>》是上位法。《</w:t>
      </w:r>
      <w:hyperlink r:id="rId7" w:history="1">
        <w:r w:rsidRPr="005C7490">
          <w:rPr>
            <w:rStyle w:val="a4"/>
            <w:rFonts w:ascii="楷体" w:eastAsia="楷体" w:hAnsi="楷体" w:hint="eastAsia"/>
            <w:color w:val="0070C0"/>
          </w:rPr>
          <w:t>中华人民共和国税收征收管理法</w:t>
        </w:r>
      </w:hyperlink>
      <w:r w:rsidRPr="005C7490">
        <w:rPr>
          <w:rFonts w:ascii="楷体" w:eastAsia="楷体" w:hAnsi="楷体" w:hint="eastAsia"/>
          <w:color w:val="0070C0"/>
        </w:rPr>
        <w:t>》规定，税收属于法律保留事项，任何机关、单位和个人不得擅自作出免税的决定。因此，天津市《关于三类企业整体安置职工和依法退出市场的意见》中“1．将土地转让收入作为企业资产变现的来源，用于安置职工的，免除其土地出让转让和房产转移过程中的税费；2．企业的土地拆迁收入，可不作为破产收入，由集团统一调配处置”的规定，无效。</w:t>
      </w:r>
    </w:p>
    <w:p w:rsidR="007C01B2" w:rsidRPr="005C7490" w:rsidRDefault="007C01B2" w:rsidP="007C01B2">
      <w:pPr>
        <w:pStyle w:val="a8"/>
        <w:spacing w:beforeLines="50" w:beforeAutospacing="0" w:afterLines="50" w:afterAutospacing="0" w:line="360" w:lineRule="auto"/>
        <w:ind w:firstLine="384"/>
        <w:rPr>
          <w:rFonts w:ascii="楷体" w:eastAsia="楷体" w:hAnsi="楷体"/>
          <w:color w:val="0070C0"/>
        </w:rPr>
      </w:pPr>
      <w:r w:rsidRPr="005C7490">
        <w:rPr>
          <w:rFonts w:ascii="楷体" w:eastAsia="楷体" w:hAnsi="楷体" w:hint="eastAsia"/>
          <w:color w:val="0070C0"/>
        </w:rPr>
        <w:t>二、《国家税务总局关于发布（企业政策性搬迁所得税管理办法》的公告》（</w:t>
      </w:r>
      <w:hyperlink r:id="rId8" w:history="1">
        <w:r w:rsidRPr="005C7490">
          <w:rPr>
            <w:rStyle w:val="a4"/>
            <w:rFonts w:ascii="楷体" w:eastAsia="楷体" w:hAnsi="楷体" w:hint="eastAsia"/>
            <w:color w:val="0070C0"/>
          </w:rPr>
          <w:t>国家税务总局公告2012年第40号</w:t>
        </w:r>
      </w:hyperlink>
      <w:r w:rsidRPr="005C7490">
        <w:rPr>
          <w:rFonts w:ascii="楷体" w:eastAsia="楷体" w:hAnsi="楷体" w:hint="eastAsia"/>
          <w:color w:val="0070C0"/>
        </w:rPr>
        <w:t>）第三条规定，企业政策性搬迁是指由于社会公共利益的需要，在政府主导下企业进行整体搬迁或部分搬迁。本案中的拆迁项目不属于政策性搬迁范围，所谓的拆迁补偿款本质上是卖地收入。</w:t>
      </w:r>
    </w:p>
    <w:p w:rsidR="007C01B2" w:rsidRPr="005C7490" w:rsidRDefault="007C01B2" w:rsidP="007C01B2">
      <w:pPr>
        <w:pStyle w:val="a8"/>
        <w:spacing w:beforeLines="50" w:beforeAutospacing="0" w:afterLines="50" w:afterAutospacing="0" w:line="360" w:lineRule="auto"/>
        <w:ind w:firstLine="384"/>
        <w:rPr>
          <w:rFonts w:ascii="楷体" w:eastAsia="楷体" w:hAnsi="楷体" w:hint="eastAsia"/>
          <w:color w:val="0070C0"/>
        </w:rPr>
      </w:pPr>
      <w:r w:rsidRPr="005C7490">
        <w:rPr>
          <w:rFonts w:ascii="楷体" w:eastAsia="楷体" w:hAnsi="楷体" w:hint="eastAsia"/>
          <w:color w:val="0070C0"/>
        </w:rPr>
        <w:t>三、经过实地检查发现，后续安置的三个生产经营项目并非T公司所说的安置项目，实际上分别是：某品牌汽车4S店、某机动车检测中心：一汽某品牌4S店，在其职工花名册中也未发现安置的下岗职工，其用于后续生产经营的三个安置项目支出也不属于搬迁支出，不得在企业所得税税前扣除。</w:t>
      </w:r>
    </w:p>
    <w:p w:rsidR="005C7490" w:rsidRDefault="005C7490" w:rsidP="005C7490">
      <w:pPr>
        <w:pStyle w:val="a8"/>
        <w:spacing w:beforeLines="50" w:beforeAutospacing="0" w:afterLines="50" w:afterAutospacing="0" w:line="360" w:lineRule="auto"/>
        <w:ind w:firstLine="384"/>
        <w:rPr>
          <w:rFonts w:hint="eastAsia"/>
        </w:rPr>
      </w:pPr>
      <w:r w:rsidRPr="005C7490">
        <w:rPr>
          <w:rFonts w:ascii="楷体" w:eastAsia="楷体" w:hAnsi="楷体" w:hint="eastAsia"/>
          <w:color w:val="0070C0"/>
        </w:rPr>
        <w:t>四、根据《中华人民共和国民法通则》第三十六条第二款规定：“法人的民事权利能力和民事行为能力，从法人成立时产生，到法人终止时消灭。”本案中，应收拆迁补偿款的合同主体X公司已注销，企业法人资格消灭，该“其他应付款”已无法偿还，应作为“其他收入”申报缴纳企业所得税</w:t>
      </w:r>
      <w:r w:rsidRPr="00F71AD5">
        <w:rPr>
          <w:rFonts w:hint="eastAsia"/>
        </w:rPr>
        <w:t>。</w:t>
      </w:r>
    </w:p>
    <w:p w:rsidR="005C7490" w:rsidRPr="00F71AD5" w:rsidRDefault="005C7490" w:rsidP="005C7490">
      <w:pPr>
        <w:pStyle w:val="a8"/>
        <w:spacing w:beforeLines="50" w:beforeAutospacing="0" w:afterLines="50" w:afterAutospacing="0" w:line="360" w:lineRule="auto"/>
        <w:ind w:firstLine="384"/>
      </w:pPr>
    </w:p>
    <w:p w:rsidR="005C7490" w:rsidRPr="005C7490" w:rsidRDefault="005C7490" w:rsidP="005C7490">
      <w:pPr>
        <w:pStyle w:val="1"/>
        <w:spacing w:beforeLines="50" w:beforeAutospacing="0" w:afterLines="50" w:afterAutospacing="0" w:line="360" w:lineRule="auto"/>
        <w:rPr>
          <w:rFonts w:ascii="宋体" w:eastAsia="宋体" w:hAnsi="宋体" w:hint="eastAsia"/>
          <w:sz w:val="24"/>
          <w:szCs w:val="24"/>
        </w:rPr>
      </w:pPr>
      <w:r w:rsidRPr="005C7490">
        <w:rPr>
          <w:rFonts w:ascii="宋体" w:eastAsia="宋体" w:hAnsi="宋体" w:hint="eastAsia"/>
          <w:sz w:val="24"/>
          <w:szCs w:val="24"/>
        </w:rPr>
        <w:t>思考</w:t>
      </w:r>
    </w:p>
    <w:p w:rsidR="005C7490" w:rsidRDefault="005C7490" w:rsidP="005C7490">
      <w:pPr>
        <w:pStyle w:val="a8"/>
        <w:spacing w:beforeLines="50" w:beforeAutospacing="0" w:afterLines="50" w:afterAutospacing="0" w:line="360" w:lineRule="auto"/>
        <w:ind w:firstLine="386"/>
        <w:rPr>
          <w:rFonts w:ascii="楷体" w:eastAsia="楷体" w:hAnsi="楷体" w:hint="eastAsia"/>
          <w:color w:val="0070C0"/>
        </w:rPr>
      </w:pPr>
    </w:p>
    <w:p w:rsidR="005C7490" w:rsidRPr="005C7490" w:rsidRDefault="005C7490" w:rsidP="005C7490">
      <w:pPr>
        <w:pStyle w:val="a8"/>
        <w:spacing w:beforeLines="50" w:beforeAutospacing="0" w:afterLines="50" w:afterAutospacing="0" w:line="360" w:lineRule="auto"/>
        <w:ind w:firstLine="386"/>
        <w:rPr>
          <w:rFonts w:ascii="楷体" w:eastAsia="楷体" w:hAnsi="楷体" w:hint="eastAsia"/>
          <w:color w:val="0070C0"/>
        </w:rPr>
      </w:pPr>
      <w:r w:rsidRPr="005C7490">
        <w:rPr>
          <w:rFonts w:ascii="楷体" w:eastAsia="楷体" w:hAnsi="楷体" w:hint="eastAsia"/>
          <w:color w:val="0070C0"/>
        </w:rPr>
        <w:lastRenderedPageBreak/>
        <w:t>一、该案，是否定性偷税，并进行处罚；</w:t>
      </w:r>
    </w:p>
    <w:p w:rsidR="005C7490" w:rsidRPr="005C7490" w:rsidRDefault="005C7490" w:rsidP="005C7490">
      <w:pPr>
        <w:pStyle w:val="a8"/>
        <w:spacing w:beforeLines="50" w:beforeAutospacing="0" w:afterLines="50" w:afterAutospacing="0" w:line="360" w:lineRule="auto"/>
        <w:ind w:firstLine="386"/>
        <w:rPr>
          <w:rFonts w:ascii="楷体" w:eastAsia="楷体" w:hAnsi="楷体"/>
          <w:color w:val="0070C0"/>
        </w:rPr>
      </w:pPr>
      <w:r w:rsidRPr="005C7490">
        <w:rPr>
          <w:rFonts w:ascii="楷体" w:eastAsia="楷体" w:hAnsi="楷体" w:hint="eastAsia"/>
          <w:color w:val="0070C0"/>
        </w:rPr>
        <w:t>二、如</w:t>
      </w:r>
      <w:r>
        <w:rPr>
          <w:rFonts w:ascii="楷体" w:eastAsia="楷体" w:hAnsi="楷体" w:hint="eastAsia"/>
          <w:color w:val="0070C0"/>
        </w:rPr>
        <w:t>不</w:t>
      </w:r>
      <w:r w:rsidRPr="005C7490">
        <w:rPr>
          <w:rFonts w:ascii="楷体" w:eastAsia="楷体" w:hAnsi="楷体" w:hint="eastAsia"/>
          <w:color w:val="0070C0"/>
        </w:rPr>
        <w:t>定性为偷税，</w:t>
      </w:r>
      <w:r>
        <w:rPr>
          <w:rFonts w:ascii="楷体" w:eastAsia="楷体" w:hAnsi="楷体" w:hint="eastAsia"/>
          <w:color w:val="0070C0"/>
        </w:rPr>
        <w:t>“其他应付款”</w:t>
      </w:r>
      <w:r w:rsidRPr="005C7490">
        <w:rPr>
          <w:rFonts w:ascii="楷体" w:eastAsia="楷体" w:hAnsi="楷体" w:hint="eastAsia"/>
          <w:color w:val="0070C0"/>
        </w:rPr>
        <w:t>是否超过法定的税款追征期限？</w:t>
      </w:r>
    </w:p>
    <w:p w:rsidR="007B20CC" w:rsidRDefault="007B20CC" w:rsidP="007C01B2">
      <w:pPr>
        <w:pStyle w:val="a8"/>
        <w:spacing w:beforeLines="50" w:beforeAutospacing="0" w:afterLines="50" w:afterAutospacing="0" w:line="360" w:lineRule="auto"/>
        <w:ind w:firstLine="386"/>
        <w:rPr>
          <w:rFonts w:hint="eastAsia"/>
        </w:rPr>
      </w:pPr>
    </w:p>
    <w:p w:rsidR="007B20CC" w:rsidRPr="007B20CC" w:rsidRDefault="007B20CC" w:rsidP="007B20CC">
      <w:pPr>
        <w:spacing w:beforeLines="50" w:beforeAutospacing="0" w:afterLines="50" w:afterAutospacing="0" w:line="360" w:lineRule="auto"/>
        <w:rPr>
          <w:rFonts w:ascii="宋体" w:eastAsia="宋体" w:hAnsi="宋体"/>
        </w:rPr>
      </w:pPr>
    </w:p>
    <w:p w:rsidR="00085249" w:rsidRPr="00F71AD5" w:rsidRDefault="00676A40" w:rsidP="007B20CC">
      <w:pPr>
        <w:spacing w:beforeLines="50" w:beforeAutospacing="0" w:afterLines="50" w:afterAutospacing="0" w:line="360" w:lineRule="auto"/>
        <w:jc w:val="center"/>
        <w:rPr>
          <w:rFonts w:ascii="宋体" w:eastAsia="宋体" w:hAnsi="宋体"/>
          <w:b/>
          <w:bCs/>
          <w:color w:val="C45911" w:themeColor="accent2" w:themeShade="BF"/>
          <w:sz w:val="44"/>
          <w:szCs w:val="44"/>
        </w:rPr>
      </w:pPr>
      <w:r w:rsidRPr="00F71AD5">
        <w:rPr>
          <w:rFonts w:ascii="宋体" w:eastAsia="宋体" w:hAnsi="宋体" w:hint="eastAsia"/>
          <w:b/>
          <w:bCs/>
          <w:color w:val="C45911" w:themeColor="accent2" w:themeShade="BF"/>
          <w:sz w:val="44"/>
          <w:szCs w:val="44"/>
        </w:rPr>
        <w:t>天津</w:t>
      </w:r>
      <w:r w:rsidRPr="00F71AD5">
        <w:rPr>
          <w:rFonts w:ascii="宋体" w:eastAsia="宋体" w:hAnsi="宋体"/>
          <w:b/>
          <w:bCs/>
          <w:color w:val="C45911" w:themeColor="accent2" w:themeShade="BF"/>
          <w:sz w:val="44"/>
          <w:szCs w:val="44"/>
        </w:rPr>
        <w:t>T集团有限公司少缴税款案</w:t>
      </w:r>
    </w:p>
    <w:p w:rsidR="000A0BBE" w:rsidRPr="00F71AD5" w:rsidRDefault="000A0BBE" w:rsidP="007B20CC">
      <w:pPr>
        <w:spacing w:beforeLines="50" w:beforeAutospacing="0" w:afterLines="50" w:afterAutospacing="0" w:line="360" w:lineRule="auto"/>
        <w:jc w:val="center"/>
        <w:rPr>
          <w:rFonts w:ascii="宋体" w:eastAsia="宋体" w:hAnsi="宋体"/>
          <w:b/>
          <w:bCs/>
        </w:rPr>
      </w:pPr>
    </w:p>
    <w:p w:rsidR="00676A40" w:rsidRPr="00F71AD5" w:rsidRDefault="003450B5" w:rsidP="007B20CC">
      <w:pPr>
        <w:spacing w:beforeLines="50" w:beforeAutospacing="0" w:afterLines="50" w:afterAutospacing="0" w:line="360" w:lineRule="auto"/>
        <w:jc w:val="center"/>
        <w:rPr>
          <w:rFonts w:ascii="宋体" w:eastAsia="宋体" w:hAnsi="宋体"/>
          <w:b/>
          <w:bCs/>
        </w:rPr>
      </w:pPr>
      <w:r w:rsidRPr="00F71AD5">
        <w:rPr>
          <w:rFonts w:ascii="宋体" w:eastAsia="宋体" w:hAnsi="宋体" w:hint="eastAsia"/>
          <w:b/>
          <w:bCs/>
        </w:rPr>
        <w:t>——</w:t>
      </w:r>
      <w:hyperlink r:id="rId9" w:history="1">
        <w:r w:rsidR="00676A40" w:rsidRPr="00F71AD5">
          <w:rPr>
            <w:rStyle w:val="a4"/>
            <w:rFonts w:ascii="宋体" w:eastAsia="宋体" w:hAnsi="宋体" w:hint="eastAsia"/>
            <w:b/>
            <w:bCs/>
          </w:rPr>
          <w:t>无法偿付款项的企业所得税处理</w:t>
        </w:r>
      </w:hyperlink>
    </w:p>
    <w:p w:rsidR="00085249" w:rsidRPr="00F71AD5" w:rsidRDefault="00085249" w:rsidP="007B20CC">
      <w:pPr>
        <w:spacing w:beforeLines="50" w:beforeAutospacing="0" w:afterLines="50" w:afterAutospacing="0" w:line="360" w:lineRule="auto"/>
        <w:rPr>
          <w:rFonts w:ascii="宋体" w:eastAsia="宋体" w:hAnsi="宋体"/>
        </w:rPr>
      </w:pPr>
    </w:p>
    <w:p w:rsidR="00F71AD5" w:rsidRPr="00F71AD5" w:rsidRDefault="00F71AD5" w:rsidP="00F71AD5">
      <w:pPr>
        <w:pStyle w:val="a8"/>
        <w:spacing w:before="120" w:beforeAutospacing="0" w:after="120" w:afterAutospacing="0" w:line="480" w:lineRule="atLeast"/>
      </w:pPr>
      <w:r w:rsidRPr="00F71AD5">
        <w:rPr>
          <w:rFonts w:hint="eastAsia"/>
        </w:rPr>
        <w:t> </w:t>
      </w:r>
    </w:p>
    <w:p w:rsidR="00F71AD5" w:rsidRPr="00F71AD5" w:rsidRDefault="00F71AD5" w:rsidP="00F71AD5">
      <w:pPr>
        <w:pStyle w:val="a8"/>
        <w:spacing w:before="120" w:beforeAutospacing="0" w:after="120" w:afterAutospacing="0" w:line="480" w:lineRule="atLeast"/>
        <w:ind w:firstLineChars="100" w:firstLine="240"/>
      </w:pPr>
      <w:r w:rsidRPr="00F71AD5">
        <w:rPr>
          <w:rFonts w:hint="eastAsia"/>
        </w:rPr>
        <w:t>〔关键词〕拆迁补偿 政策性搬迁 无法偿付款项</w:t>
      </w:r>
    </w:p>
    <w:p w:rsidR="00F71AD5" w:rsidRPr="00F71AD5" w:rsidRDefault="00F71AD5" w:rsidP="007B20CC">
      <w:pPr>
        <w:pStyle w:val="a8"/>
        <w:spacing w:beforeLines="50" w:beforeAutospacing="0" w:afterLines="50" w:afterAutospacing="0" w:line="360" w:lineRule="auto"/>
      </w:pPr>
      <w:r w:rsidRPr="00F71AD5">
        <w:rPr>
          <w:rFonts w:hint="eastAsia"/>
        </w:rPr>
        <w:t> </w:t>
      </w:r>
    </w:p>
    <w:p w:rsidR="00F71AD5" w:rsidRPr="00F71AD5" w:rsidRDefault="00F71AD5" w:rsidP="007B20CC">
      <w:pPr>
        <w:pStyle w:val="1"/>
        <w:spacing w:beforeLines="50" w:beforeAutospacing="0" w:afterLines="50" w:afterAutospacing="0" w:line="360" w:lineRule="auto"/>
        <w:rPr>
          <w:rFonts w:ascii="宋体" w:eastAsia="宋体" w:hAnsi="宋体"/>
          <w:sz w:val="24"/>
          <w:szCs w:val="24"/>
        </w:rPr>
      </w:pPr>
      <w:r w:rsidRPr="00F71AD5">
        <w:rPr>
          <w:rFonts w:ascii="宋体" w:eastAsia="宋体" w:hAnsi="宋体" w:hint="eastAsia"/>
          <w:sz w:val="24"/>
          <w:szCs w:val="24"/>
        </w:rPr>
        <w:t>基本案情</w:t>
      </w:r>
    </w:p>
    <w:p w:rsidR="00F71AD5" w:rsidRPr="00F71AD5" w:rsidRDefault="00F71AD5" w:rsidP="007B20CC">
      <w:pPr>
        <w:pStyle w:val="2"/>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一、检查过程</w:t>
      </w:r>
    </w:p>
    <w:p w:rsidR="00F71AD5" w:rsidRPr="00F71AD5" w:rsidRDefault="00F71AD5" w:rsidP="007B20CC">
      <w:pPr>
        <w:pStyle w:val="3"/>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（一）发现端倪，初查遇阻</w:t>
      </w:r>
    </w:p>
    <w:p w:rsidR="00F71AD5" w:rsidRPr="00F71AD5" w:rsidRDefault="00F71AD5" w:rsidP="007B20CC">
      <w:pPr>
        <w:pStyle w:val="a8"/>
        <w:spacing w:beforeLines="50" w:beforeAutospacing="0" w:afterLines="50" w:afterAutospacing="0" w:line="360" w:lineRule="auto"/>
        <w:ind w:firstLine="384"/>
      </w:pPr>
      <w:r w:rsidRPr="00F71AD5">
        <w:rPr>
          <w:rFonts w:hint="eastAsia"/>
        </w:rPr>
        <w:t>天津T集团有限公司（以下简称T公司）为市属国有集团企业，主要经营业务为国有资产监管、仓储、汽车配件、房屋租赁等。</w:t>
      </w:r>
    </w:p>
    <w:p w:rsidR="00F71AD5" w:rsidRPr="00F71AD5" w:rsidRDefault="00F71AD5" w:rsidP="007B20CC">
      <w:pPr>
        <w:pStyle w:val="a8"/>
        <w:spacing w:beforeLines="50" w:beforeAutospacing="0" w:afterLines="50" w:afterAutospacing="0" w:line="360" w:lineRule="auto"/>
        <w:ind w:firstLine="384"/>
      </w:pPr>
      <w:r w:rsidRPr="00F71AD5">
        <w:rPr>
          <w:rFonts w:hint="eastAsia"/>
        </w:rPr>
        <w:t>2018年底，税务机关依法对T公司实施检查。检查人员在其账簿往来科目中发现了一笔“其他应付——X公司”的款项。该款项付款方是天津市房地产有限公司（以下简称J公司），会计账目可一直追溯到2011年。</w:t>
      </w:r>
    </w:p>
    <w:p w:rsidR="00F71AD5" w:rsidRPr="00F71AD5" w:rsidRDefault="00F71AD5" w:rsidP="007B20CC">
      <w:pPr>
        <w:pStyle w:val="a8"/>
        <w:spacing w:beforeLines="50" w:beforeAutospacing="0" w:afterLines="50" w:afterAutospacing="0" w:line="360" w:lineRule="auto"/>
        <w:ind w:firstLine="384"/>
      </w:pPr>
      <w:r w:rsidRPr="00F71AD5">
        <w:rPr>
          <w:rFonts w:hint="eastAsia"/>
        </w:rPr>
        <w:t>会计人员解释，T公司是集团公司，存在子公司资金由集团公司统筹调配、拨付及使用的情况，该款项为T公司与其全资子公司X公司的正常往来款，并表示时间过长，除账簿资料外，其他资料已无法提供。</w:t>
      </w:r>
    </w:p>
    <w:p w:rsidR="00F71AD5" w:rsidRPr="00F71AD5" w:rsidRDefault="00F71AD5" w:rsidP="007B20CC">
      <w:pPr>
        <w:pStyle w:val="3"/>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lastRenderedPageBreak/>
        <w:t>（二）外围调查，获取证据</w:t>
      </w:r>
    </w:p>
    <w:p w:rsidR="00F71AD5" w:rsidRPr="00F71AD5" w:rsidRDefault="00F71AD5" w:rsidP="007B20CC">
      <w:pPr>
        <w:pStyle w:val="a8"/>
        <w:spacing w:beforeLines="50" w:beforeAutospacing="0" w:afterLines="50" w:afterAutospacing="0" w:line="360" w:lineRule="auto"/>
        <w:ind w:firstLine="384"/>
      </w:pPr>
      <w:r w:rsidRPr="00F71AD5">
        <w:rPr>
          <w:rFonts w:hint="eastAsia"/>
        </w:rPr>
        <w:t>会计人员的解释并没有打消检查人员的疑虑。检查人员认为，该往来款与经营常规不符，可能存在涉税风险，遂对公司的有关情况展开外调取证。</w:t>
      </w:r>
    </w:p>
    <w:p w:rsidR="00F71AD5" w:rsidRPr="00F71AD5" w:rsidRDefault="00F71AD5" w:rsidP="007B20CC">
      <w:pPr>
        <w:pStyle w:val="a8"/>
        <w:spacing w:beforeLines="50" w:beforeAutospacing="0" w:afterLines="50" w:afterAutospacing="0" w:line="360" w:lineRule="auto"/>
        <w:ind w:firstLine="384"/>
      </w:pPr>
      <w:r w:rsidRPr="00F71AD5">
        <w:rPr>
          <w:rFonts w:hint="eastAsia"/>
        </w:rPr>
        <w:t>外调取得的相关资料显示，2000年，x公司与y公司签订合作建房项目合同，约定在x公司厂址长江道某地块建设3栋楼房，其中2栋归×公司所有。之后由于x公司长期资不抵债申请破产，直至公司破产清算时，该合同也未履行。</w:t>
      </w:r>
    </w:p>
    <w:p w:rsidR="00F71AD5" w:rsidRPr="00F71AD5" w:rsidRDefault="00F71AD5" w:rsidP="007B20CC">
      <w:pPr>
        <w:pStyle w:val="a8"/>
        <w:spacing w:beforeLines="50" w:beforeAutospacing="0" w:afterLines="50" w:afterAutospacing="0" w:line="360" w:lineRule="auto"/>
        <w:ind w:firstLine="384"/>
      </w:pPr>
      <w:r w:rsidRPr="00F71AD5">
        <w:rPr>
          <w:rFonts w:hint="eastAsia"/>
        </w:rPr>
        <w:t>2006年11月，天津市财政局、国资委、劳动和社会保障局联合制定《关于三类企业整体安置职工和依法退出市场的意见》（津政发〔2006104号），提出通过托管、分流等方式整体安置企业职工，以解决企业拖欠职工债务同题。意见中所称“三类企业”为列人国家计划的政策性破产企业、依据法律法规破产的企业和按照《天津市国有特困企业整体分流安置职工暂行办法》（津政发〔2004）108号）退出市场的困难企业。x公司被列人“三类企业”。</w:t>
      </w:r>
    </w:p>
    <w:p w:rsidR="00F71AD5" w:rsidRPr="00F71AD5" w:rsidRDefault="00F71AD5" w:rsidP="007B20CC">
      <w:pPr>
        <w:pStyle w:val="a8"/>
        <w:spacing w:beforeLines="50" w:beforeAutospacing="0" w:afterLines="50" w:afterAutospacing="0" w:line="360" w:lineRule="auto"/>
        <w:ind w:firstLine="384"/>
      </w:pPr>
      <w:r w:rsidRPr="00F71AD5">
        <w:rPr>
          <w:rFonts w:hint="eastAsia"/>
        </w:rPr>
        <w:t>2011年，T公司、X公司和公司签署补充协议，因长江道某地块的合同变更，y公司不再为x公司建设楼房，补偿X公司12亿元，款项由T公司代收。T公司以x公司名义从X公司主管地方税务局代开发票，并代付相关税费15381万元（营业税、印花税、城市维护建设税、教育费附加等），支付代垫清理费用185万元。</w:t>
      </w:r>
    </w:p>
    <w:p w:rsidR="00F71AD5" w:rsidRPr="00F71AD5" w:rsidRDefault="00F71AD5" w:rsidP="007B20CC">
      <w:pPr>
        <w:pStyle w:val="a8"/>
        <w:spacing w:beforeLines="50" w:beforeAutospacing="0" w:afterLines="50" w:afterAutospacing="0" w:line="360" w:lineRule="auto"/>
        <w:ind w:firstLine="384"/>
      </w:pPr>
      <w:r w:rsidRPr="00F71AD5">
        <w:rPr>
          <w:rFonts w:hint="eastAsia"/>
        </w:rPr>
        <w:t>经在金税三期核心征管系统查询，X公司已为非正常状态，检查人员进—步到市场监督管理部门和法院取证，发现公司于2011年1月向法院申请破产，2012年9月破产清算，营业执照被吊错，2018年1月注销。</w:t>
      </w:r>
    </w:p>
    <w:p w:rsidR="00F71AD5" w:rsidRPr="00F71AD5" w:rsidRDefault="00F71AD5" w:rsidP="007B20CC">
      <w:pPr>
        <w:pStyle w:val="a8"/>
        <w:spacing w:beforeLines="50" w:beforeAutospacing="0" w:afterLines="50" w:afterAutospacing="0" w:line="360" w:lineRule="auto"/>
        <w:ind w:firstLine="384"/>
      </w:pPr>
      <w:r w:rsidRPr="00F71AD5">
        <w:rPr>
          <w:rFonts w:hint="eastAsia"/>
        </w:rPr>
        <w:t>以上合同变更补充协议签订于破产期间，清算报告中以上补偿款未确认收入，未申报缴纳企业所得税，后续的分期收款一直由T公司收取。由于X公司已破产注销，无法立案检查，从T公司追缴这笔款项对应的税款成为检查的重点。</w:t>
      </w:r>
    </w:p>
    <w:p w:rsidR="00F71AD5" w:rsidRPr="00F71AD5" w:rsidRDefault="00F71AD5" w:rsidP="007B20CC">
      <w:pPr>
        <w:pStyle w:val="3"/>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（三）研究政策，反复沟通</w:t>
      </w:r>
    </w:p>
    <w:p w:rsidR="00F71AD5" w:rsidRPr="00F71AD5" w:rsidRDefault="00F71AD5" w:rsidP="007B20CC">
      <w:pPr>
        <w:pStyle w:val="a8"/>
        <w:spacing w:beforeLines="50" w:beforeAutospacing="0" w:afterLines="50" w:afterAutospacing="0" w:line="360" w:lineRule="auto"/>
        <w:ind w:firstLine="384"/>
      </w:pPr>
      <w:r w:rsidRPr="00F71AD5">
        <w:rPr>
          <w:rFonts w:hint="eastAsia"/>
        </w:rPr>
        <w:t>检查人员就该笔拆迁补偿款是否为应税收人，是否超出追征期限等问题与T公司进行了沟通。在大量证据面前，r公司认可以上事实，但认为该笔拆迁补偿款为企业破产安置下岗职工的费用，依据《关于三类企业整体安置职工和依法退出市场的意见》的有关规定应当免税。检查人员认为，</w:t>
      </w:r>
      <w:r w:rsidRPr="007B20CC">
        <w:rPr>
          <w:rFonts w:hint="eastAsia"/>
          <w:color w:val="C45911" w:themeColor="accent2" w:themeShade="BF"/>
        </w:rPr>
        <w:t>与天津市出台的政策相比，</w:t>
      </w:r>
      <w:r w:rsidRPr="007B20CC">
        <w:rPr>
          <w:rFonts w:hint="eastAsia"/>
          <w:color w:val="C45911" w:themeColor="accent2" w:themeShade="BF"/>
        </w:rPr>
        <w:lastRenderedPageBreak/>
        <w:t>《</w:t>
      </w:r>
      <w:hyperlink r:id="rId10" w:history="1">
        <w:r w:rsidRPr="007B20CC">
          <w:rPr>
            <w:rStyle w:val="a4"/>
            <w:rFonts w:hint="eastAsia"/>
            <w:color w:val="C45911" w:themeColor="accent2" w:themeShade="BF"/>
          </w:rPr>
          <w:t>中华人民共和国税收征收管理法</w:t>
        </w:r>
      </w:hyperlink>
      <w:r w:rsidRPr="007B20CC">
        <w:rPr>
          <w:rFonts w:hint="eastAsia"/>
          <w:color w:val="C45911" w:themeColor="accent2" w:themeShade="BF"/>
        </w:rPr>
        <w:t>》是上位法。《</w:t>
      </w:r>
      <w:hyperlink r:id="rId11" w:history="1">
        <w:r w:rsidRPr="007B20CC">
          <w:rPr>
            <w:rStyle w:val="a4"/>
            <w:rFonts w:hint="eastAsia"/>
            <w:color w:val="C45911" w:themeColor="accent2" w:themeShade="BF"/>
          </w:rPr>
          <w:t>中华人民共和国税收征收管理法</w:t>
        </w:r>
      </w:hyperlink>
      <w:r w:rsidRPr="007B20CC">
        <w:rPr>
          <w:rFonts w:hint="eastAsia"/>
          <w:color w:val="C45911" w:themeColor="accent2" w:themeShade="BF"/>
        </w:rPr>
        <w:t>》规定，税收属于法律保留事项，任何机关、单位和个人不得擅自作出免税的决定</w:t>
      </w:r>
      <w:r w:rsidRPr="00F71AD5">
        <w:rPr>
          <w:rFonts w:hint="eastAsia"/>
        </w:rPr>
        <w:t>。另外，免税项目也需要经过主管税务机关的审批程序。</w:t>
      </w:r>
    </w:p>
    <w:p w:rsidR="00F71AD5" w:rsidRPr="00F71AD5" w:rsidRDefault="00F71AD5" w:rsidP="007B20CC">
      <w:pPr>
        <w:pStyle w:val="a8"/>
        <w:spacing w:beforeLines="50" w:beforeAutospacing="0" w:afterLines="50" w:afterAutospacing="0" w:line="360" w:lineRule="auto"/>
        <w:ind w:firstLine="384"/>
      </w:pPr>
      <w:r w:rsidRPr="00F71AD5">
        <w:rPr>
          <w:rFonts w:hint="eastAsia"/>
        </w:rPr>
        <w:t>T公司还提出，X公司破产后，公司作为集团母公司；后续共建设了三个安置项目：QX区的“T学院维修实习基地”、NK区的T检测站、T公司交通事故快处中心和车辆快速维修中心。因为通过以上三个项目建设可以吸收r公司的下岗职工，按照《国家税务总局关于企业政策性搬迁所得税有关问题的公告》（</w:t>
      </w:r>
      <w:hyperlink r:id="rId12" w:history="1">
        <w:r w:rsidRPr="00F71AD5">
          <w:rPr>
            <w:rStyle w:val="a4"/>
            <w:rFonts w:hint="eastAsia"/>
          </w:rPr>
          <w:t>国家税务总局公告2013年第11号</w:t>
        </w:r>
      </w:hyperlink>
      <w:r w:rsidRPr="00F71AD5">
        <w:rPr>
          <w:rFonts w:hint="eastAsia"/>
        </w:rPr>
        <w:t>）的规定，相应支出应属于政策性搬迁项目支出，可以税前扣除，并提供了相关资料。</w:t>
      </w:r>
    </w:p>
    <w:p w:rsidR="00F71AD5" w:rsidRPr="00F71AD5" w:rsidRDefault="00F71AD5" w:rsidP="007B20CC">
      <w:pPr>
        <w:pStyle w:val="a8"/>
        <w:spacing w:beforeLines="50" w:beforeAutospacing="0" w:afterLines="50" w:afterAutospacing="0" w:line="360" w:lineRule="auto"/>
        <w:ind w:firstLine="384"/>
      </w:pPr>
      <w:r w:rsidRPr="00F71AD5">
        <w:rPr>
          <w:rFonts w:hint="eastAsia"/>
        </w:rPr>
        <w:t>检查人员对</w:t>
      </w:r>
      <w:r w:rsidRPr="007B20CC">
        <w:rPr>
          <w:rFonts w:hint="eastAsia"/>
          <w:color w:val="C45911" w:themeColor="accent2" w:themeShade="BF"/>
        </w:rPr>
        <w:t>T公司用于后续安置的三个生产经营项目进行了实地检查，发现这三个项目并非T公司所说的安置项目，实际上分别是：某品牌汽车4S店、某机动车检测中心：一汽某品牌4S店，在其职工花名册中也未发现安置的下岗职工</w:t>
      </w:r>
      <w:r w:rsidRPr="00F71AD5">
        <w:rPr>
          <w:rFonts w:hint="eastAsia"/>
        </w:rPr>
        <w:t>。</w:t>
      </w:r>
    </w:p>
    <w:p w:rsidR="00F71AD5" w:rsidRPr="00F71AD5" w:rsidRDefault="00F71AD5" w:rsidP="007B20CC">
      <w:pPr>
        <w:pStyle w:val="3"/>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（四）释法明理，尽职挽损</w:t>
      </w:r>
    </w:p>
    <w:p w:rsidR="00F71AD5" w:rsidRPr="00F71AD5" w:rsidRDefault="00F71AD5" w:rsidP="007B20CC">
      <w:pPr>
        <w:pStyle w:val="a8"/>
        <w:spacing w:beforeLines="50" w:beforeAutospacing="0" w:afterLines="50" w:afterAutospacing="0" w:line="360" w:lineRule="auto"/>
        <w:ind w:firstLine="384"/>
      </w:pPr>
      <w:r w:rsidRPr="00F71AD5">
        <w:rPr>
          <w:rFonts w:hint="eastAsia"/>
        </w:rPr>
        <w:t>在证据和政策面前，T公司承认以上拆迁补偿款确已收取，应当缴税，但认为以下支出可以税前扣除：一是相关税费1538.1万元，二是代垫清理费用185万元，三是退出职工安置费用1377.94万元，四是后续安置生产经营项目支出9345.18万元。</w:t>
      </w:r>
    </w:p>
    <w:p w:rsidR="00F71AD5" w:rsidRPr="00F71AD5" w:rsidRDefault="00F71AD5" w:rsidP="007B20CC">
      <w:pPr>
        <w:pStyle w:val="a8"/>
        <w:spacing w:beforeLines="50" w:beforeAutospacing="0" w:afterLines="50" w:afterAutospacing="0" w:line="360" w:lineRule="auto"/>
        <w:ind w:firstLine="384"/>
      </w:pPr>
      <w:r w:rsidRPr="00F71AD5">
        <w:rPr>
          <w:rFonts w:hint="eastAsia"/>
        </w:rPr>
        <w:t>针对企业提出的以上四笔搬迁支出，检查组认为：</w:t>
      </w:r>
    </w:p>
    <w:p w:rsidR="00F71AD5" w:rsidRPr="00F71AD5" w:rsidRDefault="00F71AD5" w:rsidP="007B20CC">
      <w:pPr>
        <w:pStyle w:val="a8"/>
        <w:spacing w:beforeLines="50" w:beforeAutospacing="0" w:afterLines="50" w:afterAutospacing="0" w:line="360" w:lineRule="auto"/>
        <w:ind w:firstLine="384"/>
      </w:pPr>
      <w:r w:rsidRPr="00F71AD5">
        <w:rPr>
          <w:rFonts w:hint="eastAsia"/>
        </w:rPr>
        <w:t>第一,T公司支付的税费1538.1万元，为企业的合理支出，可以税前扣除。</w:t>
      </w:r>
    </w:p>
    <w:p w:rsidR="00F71AD5" w:rsidRPr="00F71AD5" w:rsidRDefault="00F71AD5" w:rsidP="007B20CC">
      <w:pPr>
        <w:pStyle w:val="a8"/>
        <w:spacing w:beforeLines="50" w:beforeAutospacing="0" w:afterLines="50" w:afterAutospacing="0" w:line="360" w:lineRule="auto"/>
        <w:ind w:firstLine="384"/>
      </w:pPr>
      <w:r w:rsidRPr="00F71AD5">
        <w:rPr>
          <w:rFonts w:hint="eastAsia"/>
        </w:rPr>
        <w:t>第二，退出职工安置费用1377.94万元中，企业提供了相关证明凭证的1075.7万元，可以扣除，其余金额无有效凭证，不得扣除。</w:t>
      </w:r>
    </w:p>
    <w:p w:rsidR="00F71AD5" w:rsidRPr="00F71AD5" w:rsidRDefault="00F71AD5" w:rsidP="007B20CC">
      <w:pPr>
        <w:pStyle w:val="a8"/>
        <w:spacing w:beforeLines="50" w:beforeAutospacing="0" w:afterLines="50" w:afterAutospacing="0" w:line="360" w:lineRule="auto"/>
        <w:ind w:firstLine="384"/>
      </w:pPr>
      <w:r w:rsidRPr="00F71AD5">
        <w:rPr>
          <w:rFonts w:hint="eastAsia"/>
        </w:rPr>
        <w:t>第三，后续安置的三个生产经营项目支出9345.18方元，不属于企业政策性搬迁范畴，不允许扣除。</w:t>
      </w:r>
    </w:p>
    <w:p w:rsidR="00F71AD5" w:rsidRPr="00F71AD5" w:rsidRDefault="00F71AD5" w:rsidP="007B20CC">
      <w:pPr>
        <w:pStyle w:val="a8"/>
        <w:spacing w:beforeLines="50" w:beforeAutospacing="0" w:afterLines="50" w:afterAutospacing="0" w:line="360" w:lineRule="auto"/>
        <w:ind w:firstLine="384"/>
      </w:pPr>
      <w:r w:rsidRPr="00F71AD5">
        <w:rPr>
          <w:rFonts w:hint="eastAsia"/>
        </w:rPr>
        <w:t>第四，T公司2018年支付的185万元代垫清理费用作为纳税调整事项，于2018年度企业所得税汇算清缴时，进行纳税调减。</w:t>
      </w:r>
    </w:p>
    <w:p w:rsidR="00F71AD5" w:rsidRPr="00F71AD5" w:rsidRDefault="00F71AD5" w:rsidP="007B20CC">
      <w:pPr>
        <w:pStyle w:val="2"/>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lastRenderedPageBreak/>
        <w:t>二、案件事实</w:t>
      </w:r>
    </w:p>
    <w:p w:rsidR="00F71AD5" w:rsidRPr="00F71AD5" w:rsidRDefault="00F71AD5" w:rsidP="007B20CC">
      <w:pPr>
        <w:pStyle w:val="a8"/>
        <w:spacing w:beforeLines="50" w:beforeAutospacing="0" w:afterLines="50" w:afterAutospacing="0" w:line="360" w:lineRule="auto"/>
        <w:ind w:firstLine="384"/>
      </w:pPr>
      <w:r w:rsidRPr="00F71AD5">
        <w:rPr>
          <w:rFonts w:hint="eastAsia"/>
        </w:rPr>
        <w:t>经查明，本案的主要事实如下：</w:t>
      </w:r>
    </w:p>
    <w:p w:rsidR="00F71AD5" w:rsidRPr="00F71AD5" w:rsidRDefault="00F71AD5" w:rsidP="007B20CC">
      <w:pPr>
        <w:pStyle w:val="a8"/>
        <w:spacing w:beforeLines="50" w:beforeAutospacing="0" w:afterLines="50" w:afterAutospacing="0" w:line="360" w:lineRule="auto"/>
        <w:ind w:firstLine="384"/>
      </w:pPr>
      <w:r w:rsidRPr="00F71AD5">
        <w:rPr>
          <w:rFonts w:hint="eastAsia"/>
        </w:rPr>
        <w:t>2011年9月，T公司与其全资子公司X公司约定，由T公司代收X公司1.2亿元拆迁补偿费，并代付相关税费1538.1万元，支付代垫清理费用185万元。</w:t>
      </w:r>
    </w:p>
    <w:p w:rsidR="00F71AD5" w:rsidRPr="00F71AD5" w:rsidRDefault="00F71AD5" w:rsidP="007B20CC">
      <w:pPr>
        <w:pStyle w:val="a8"/>
        <w:spacing w:beforeLines="50" w:beforeAutospacing="0" w:afterLines="50" w:afterAutospacing="0" w:line="360" w:lineRule="auto"/>
        <w:ind w:firstLine="384"/>
      </w:pPr>
      <w:r w:rsidRPr="00F71AD5">
        <w:rPr>
          <w:rFonts w:hint="eastAsia"/>
        </w:rPr>
        <w:t>X公司于2011年1月20日申请破产，2012年9月11日清算。破产清算中，X公司未将12亿元拆迁补偿款确认收入并缴纳企业所得税；X公司随后注销。</w:t>
      </w:r>
    </w:p>
    <w:p w:rsidR="00F71AD5" w:rsidRPr="00F71AD5" w:rsidRDefault="00F71AD5" w:rsidP="007B20CC">
      <w:pPr>
        <w:pStyle w:val="a8"/>
        <w:spacing w:beforeLines="50" w:beforeAutospacing="0" w:afterLines="50" w:afterAutospacing="0" w:line="360" w:lineRule="auto"/>
        <w:ind w:firstLine="384"/>
      </w:pPr>
      <w:r w:rsidRPr="00F71AD5">
        <w:rPr>
          <w:rFonts w:hint="eastAsia"/>
        </w:rPr>
        <w:t>T公司代收的1.2亿元拆迁补偿款未申报缴纳企业所得税。</w:t>
      </w:r>
    </w:p>
    <w:p w:rsidR="00F71AD5" w:rsidRPr="00F71AD5" w:rsidRDefault="00F71AD5" w:rsidP="007B20CC">
      <w:pPr>
        <w:pStyle w:val="2"/>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三、处理结果</w:t>
      </w:r>
    </w:p>
    <w:p w:rsidR="00F71AD5" w:rsidRPr="00F71AD5" w:rsidRDefault="00F71AD5" w:rsidP="007B20CC">
      <w:pPr>
        <w:pStyle w:val="a8"/>
        <w:spacing w:beforeLines="50" w:beforeAutospacing="0" w:afterLines="50" w:afterAutospacing="0" w:line="360" w:lineRule="auto"/>
        <w:ind w:firstLine="384"/>
      </w:pPr>
      <w:r w:rsidRPr="00F71AD5">
        <w:rPr>
          <w:rFonts w:hint="eastAsia"/>
        </w:rPr>
        <w:t>经审理，税务机关作出如下决定：</w:t>
      </w:r>
    </w:p>
    <w:p w:rsidR="00F71AD5" w:rsidRPr="00F71AD5" w:rsidRDefault="00F71AD5" w:rsidP="007B20CC">
      <w:pPr>
        <w:pStyle w:val="a8"/>
        <w:spacing w:beforeLines="50" w:beforeAutospacing="0" w:afterLines="50" w:afterAutospacing="0" w:line="360" w:lineRule="auto"/>
        <w:ind w:firstLine="384"/>
      </w:pPr>
      <w:r w:rsidRPr="00F71AD5">
        <w:rPr>
          <w:rFonts w:hint="eastAsia"/>
        </w:rPr>
        <w:t>T公司代收的1.2亿元拆迁补偿款属于无法偿付的应付款项，其作为实际受益方，补缴企业所得税2321万元，并从滞纳税款之日起按日加收万分之五的滞纳金共计808万元，两项合计3129万元。</w:t>
      </w:r>
    </w:p>
    <w:p w:rsidR="00F71AD5" w:rsidRPr="00F71AD5" w:rsidRDefault="00F71AD5" w:rsidP="007B20CC">
      <w:pPr>
        <w:pStyle w:val="a8"/>
        <w:spacing w:beforeLines="50" w:beforeAutospacing="0" w:afterLines="50" w:afterAutospacing="0" w:line="360" w:lineRule="auto"/>
        <w:ind w:firstLine="384"/>
      </w:pPr>
      <w:r w:rsidRPr="00F71AD5">
        <w:rPr>
          <w:rFonts w:hint="eastAsia"/>
        </w:rPr>
        <w:t> </w:t>
      </w:r>
    </w:p>
    <w:p w:rsidR="00F71AD5" w:rsidRPr="00F71AD5" w:rsidRDefault="00F71AD5" w:rsidP="007B20CC">
      <w:pPr>
        <w:pStyle w:val="1"/>
        <w:spacing w:beforeLines="50" w:beforeAutospacing="0" w:afterLines="50" w:afterAutospacing="0" w:line="360" w:lineRule="auto"/>
        <w:rPr>
          <w:rFonts w:ascii="宋体" w:eastAsia="宋体" w:hAnsi="宋体"/>
          <w:sz w:val="24"/>
          <w:szCs w:val="24"/>
        </w:rPr>
      </w:pPr>
      <w:r w:rsidRPr="00F71AD5">
        <w:rPr>
          <w:rFonts w:ascii="宋体" w:eastAsia="宋体" w:hAnsi="宋体" w:hint="eastAsia"/>
          <w:sz w:val="24"/>
          <w:szCs w:val="24"/>
        </w:rPr>
        <w:t>争议焦点</w:t>
      </w:r>
    </w:p>
    <w:p w:rsidR="00F71AD5" w:rsidRPr="00F71AD5" w:rsidRDefault="00F71AD5" w:rsidP="007B20CC">
      <w:pPr>
        <w:pStyle w:val="a8"/>
        <w:spacing w:beforeLines="50" w:beforeAutospacing="0" w:afterLines="50" w:afterAutospacing="0" w:line="360" w:lineRule="auto"/>
        <w:ind w:firstLine="384"/>
      </w:pPr>
      <w:r w:rsidRPr="00F71AD5">
        <w:rPr>
          <w:rFonts w:hint="eastAsia"/>
        </w:rPr>
        <w:t> </w:t>
      </w:r>
    </w:p>
    <w:p w:rsidR="00F71AD5" w:rsidRPr="00F71AD5" w:rsidRDefault="00F71AD5" w:rsidP="007B20CC">
      <w:pPr>
        <w:pStyle w:val="a8"/>
        <w:spacing w:beforeLines="50" w:beforeAutospacing="0" w:afterLines="50" w:afterAutospacing="0" w:line="360" w:lineRule="auto"/>
        <w:ind w:firstLine="384"/>
      </w:pPr>
      <w:r w:rsidRPr="00F71AD5">
        <w:rPr>
          <w:rFonts w:hint="eastAsia"/>
        </w:rPr>
        <w:t>本案中，针对T公司收取拆迁补偿款的涉税问题，双方争议的焦点在于纳税义务的确定和有关费用的税前扣除上。</w:t>
      </w:r>
    </w:p>
    <w:p w:rsidR="00F71AD5" w:rsidRPr="00F71AD5" w:rsidRDefault="00F71AD5" w:rsidP="007B20CC">
      <w:pPr>
        <w:pStyle w:val="2"/>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一、关于无法偿付应付款项的纳税义务问题</w:t>
      </w:r>
    </w:p>
    <w:p w:rsidR="00F71AD5" w:rsidRPr="00F71AD5" w:rsidRDefault="00F71AD5" w:rsidP="007B20CC">
      <w:pPr>
        <w:pStyle w:val="a8"/>
        <w:spacing w:beforeLines="50" w:beforeAutospacing="0" w:afterLines="50" w:afterAutospacing="0" w:line="360" w:lineRule="auto"/>
        <w:ind w:firstLine="384"/>
      </w:pPr>
      <w:r w:rsidRPr="00F71AD5">
        <w:rPr>
          <w:rFonts w:hint="eastAsia"/>
        </w:rPr>
        <w:t>T公司认为，根据《关于三类企业整体安置职工和依法退出市场的意见》中“1．将土地转让收入作为企业资产变现的来源，用于安置职工的，免除其土地出让转让和房产转移过程中的税费；2．企业的土地拆迁收入，可不作为破产收入，由集团统一调配处置”的规定，T公司取得的拆迁补偿款应当免除相关税费。</w:t>
      </w:r>
    </w:p>
    <w:p w:rsidR="00F71AD5" w:rsidRPr="00F71AD5" w:rsidRDefault="00F71AD5" w:rsidP="007B20CC">
      <w:pPr>
        <w:pStyle w:val="a8"/>
        <w:spacing w:beforeLines="50" w:beforeAutospacing="0" w:afterLines="50" w:afterAutospacing="0" w:line="360" w:lineRule="auto"/>
        <w:ind w:firstLine="384"/>
      </w:pPr>
      <w:r w:rsidRPr="00F71AD5">
        <w:rPr>
          <w:rFonts w:hint="eastAsia"/>
        </w:rPr>
        <w:t>税务机关认为，《</w:t>
      </w:r>
      <w:hyperlink r:id="rId13" w:history="1">
        <w:r w:rsidRPr="00F71AD5">
          <w:rPr>
            <w:rStyle w:val="a4"/>
            <w:rFonts w:hint="eastAsia"/>
          </w:rPr>
          <w:t>中华人民共和国企业所得税法实施条例</w:t>
        </w:r>
      </w:hyperlink>
      <w:r w:rsidRPr="00F71AD5">
        <w:rPr>
          <w:rFonts w:hint="eastAsia"/>
        </w:rPr>
        <w:t>》第二十二条规定：“</w:t>
      </w:r>
      <w:hyperlink r:id="rId14" w:history="1">
        <w:r w:rsidRPr="00F71AD5">
          <w:rPr>
            <w:rStyle w:val="a4"/>
            <w:rFonts w:hint="eastAsia"/>
          </w:rPr>
          <w:t>企业所得税法</w:t>
        </w:r>
      </w:hyperlink>
      <w:r w:rsidRPr="00F71AD5">
        <w:rPr>
          <w:rFonts w:hint="eastAsia"/>
        </w:rPr>
        <w:t>第六条第（九）项所称其他收入，是指企业取得的除</w:t>
      </w:r>
      <w:hyperlink r:id="rId15" w:history="1">
        <w:r w:rsidRPr="00F71AD5">
          <w:rPr>
            <w:rStyle w:val="a4"/>
            <w:rFonts w:hint="eastAsia"/>
          </w:rPr>
          <w:t>企业所得税法</w:t>
        </w:r>
      </w:hyperlink>
      <w:r w:rsidRPr="00F71AD5">
        <w:rPr>
          <w:rFonts w:hint="eastAsia"/>
        </w:rPr>
        <w:t>第六条第（一）项至第（八）项规定的收入外的其他收入，包括企业资产溢余</w:t>
      </w:r>
      <w:r w:rsidRPr="00F71AD5">
        <w:rPr>
          <w:rFonts w:hint="eastAsia"/>
        </w:rPr>
        <w:lastRenderedPageBreak/>
        <w:t>收入、逾期未退包装物押金收入、确实无法偿付的应付款项、已作坏账损失处理后又收回的应收款项、债务重组收入、补贴收入、违约金收入、汇兑收益等”。《国家税务总局关于企业取得财产转让等所得企业所得税处理问题的公告》（</w:t>
      </w:r>
      <w:hyperlink r:id="rId16" w:history="1">
        <w:r w:rsidRPr="00F71AD5">
          <w:rPr>
            <w:rStyle w:val="a4"/>
            <w:rFonts w:hint="eastAsia"/>
          </w:rPr>
          <w:t>国家税务总局公告2010年第19号</w:t>
        </w:r>
      </w:hyperlink>
      <w:r w:rsidRPr="00F71AD5">
        <w:rPr>
          <w:rFonts w:hint="eastAsia"/>
        </w:rPr>
        <w:t>）第一条规定：“企业取得财产（包括各类资产、股权、债权等）转让收入、债务重组收入、接受捐赠收入、无法偿付的应付款收入等，不论是以货币形式、还是非货币形式体现，除另有规定外，均应一次性计入确认收入的年度计算缴纳企业所得税”。《关于三类企业整体安置职工和依法退出市场的意见》仅为指导意见，根据《</w:t>
      </w:r>
      <w:hyperlink r:id="rId17" w:history="1">
        <w:r w:rsidRPr="00F71AD5">
          <w:rPr>
            <w:rStyle w:val="a4"/>
            <w:rFonts w:hint="eastAsia"/>
          </w:rPr>
          <w:t>中华人民共和国税收征收管理法</w:t>
        </w:r>
      </w:hyperlink>
      <w:r w:rsidRPr="00F71AD5">
        <w:rPr>
          <w:rFonts w:hint="eastAsia"/>
        </w:rPr>
        <w:t>》第三条第二款规定，任何机关、单位和个人不得违反法律、行政法规的规定，</w:t>
      </w:r>
      <w:r w:rsidRPr="00F71AD5">
        <w:rPr>
          <w:rFonts w:hint="eastAsia"/>
          <w:color w:val="C55A11"/>
        </w:rPr>
        <w:t>擅自作出税收开征、停征以及减税、免税、退税、补税和其他同税收法律、行政法规相抵触的决定</w:t>
      </w:r>
      <w:r w:rsidRPr="00F71AD5">
        <w:rPr>
          <w:rFonts w:hint="eastAsia"/>
        </w:rPr>
        <w:t>。并且按照本案发生时的税收管理规定，此项免税项目需经主管税务机关审批，但该公司并未取得税务机关的审批文件。因此，综合认定T公司收取的12亿元拆迁补偿款应当依法缴纳相关税费。</w:t>
      </w:r>
    </w:p>
    <w:p w:rsidR="00F71AD5" w:rsidRPr="00F71AD5" w:rsidRDefault="00F71AD5" w:rsidP="007B20CC">
      <w:pPr>
        <w:pStyle w:val="2"/>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二、关于搬迁费用的税前扣除问题</w:t>
      </w:r>
    </w:p>
    <w:p w:rsidR="00F71AD5" w:rsidRPr="00F71AD5" w:rsidRDefault="00F71AD5" w:rsidP="007B20CC">
      <w:pPr>
        <w:pStyle w:val="a8"/>
        <w:spacing w:beforeLines="50" w:beforeAutospacing="0" w:afterLines="50" w:afterAutospacing="0" w:line="360" w:lineRule="auto"/>
        <w:ind w:firstLine="384"/>
      </w:pPr>
      <w:r w:rsidRPr="00F71AD5">
        <w:rPr>
          <w:rFonts w:hint="eastAsia"/>
        </w:rPr>
        <w:t>T公司认为，其取得拆迁补偿款缴纳的相关税费、代垫清理费、退出职工安置费以及用于后续生产经营的三个安置项目支出可以在税前扣除。</w:t>
      </w:r>
    </w:p>
    <w:p w:rsidR="00F71AD5" w:rsidRPr="00F71AD5" w:rsidRDefault="00F71AD5" w:rsidP="007B20CC">
      <w:pPr>
        <w:pStyle w:val="a8"/>
        <w:spacing w:beforeLines="50" w:beforeAutospacing="0" w:afterLines="50" w:afterAutospacing="0" w:line="360" w:lineRule="auto"/>
        <w:ind w:firstLine="384"/>
      </w:pPr>
      <w:r w:rsidRPr="00F71AD5">
        <w:rPr>
          <w:rFonts w:hint="eastAsia"/>
        </w:rPr>
        <w:t>税务机关认为，T公司实际支付的相关税费、代垫清理费用和取得证明凭证的职工安置费用，根据《</w:t>
      </w:r>
      <w:hyperlink r:id="rId18" w:history="1">
        <w:r w:rsidRPr="00F71AD5">
          <w:rPr>
            <w:rStyle w:val="a4"/>
            <w:rFonts w:hint="eastAsia"/>
          </w:rPr>
          <w:t>中华人民共和国企业所得税法</w:t>
        </w:r>
      </w:hyperlink>
      <w:r w:rsidRPr="00F71AD5">
        <w:rPr>
          <w:rFonts w:hint="eastAsia"/>
        </w:rPr>
        <w:t>》第八条“企业实际发生的与取得收人有关的、合理的支出，包括成本、费用、税金、损失和其他支出，准予在计算应纳税所得额时扣除的规定，可以税前扣除。对于后续生产经营的三个安置项目，根据《国家税务总局关于发布（企业政策性搬迁所得税管理办法》的公告》（</w:t>
      </w:r>
      <w:hyperlink r:id="rId19" w:history="1">
        <w:r w:rsidRPr="00F71AD5">
          <w:rPr>
            <w:rStyle w:val="a4"/>
            <w:rFonts w:hint="eastAsia"/>
          </w:rPr>
          <w:t>国家税务总局公告2012年第40号</w:t>
        </w:r>
      </w:hyperlink>
      <w:r w:rsidRPr="00F71AD5">
        <w:rPr>
          <w:rFonts w:hint="eastAsia"/>
        </w:rPr>
        <w:t>）第三条规定，</w:t>
      </w:r>
      <w:r w:rsidRPr="00F71AD5">
        <w:rPr>
          <w:rFonts w:hint="eastAsia"/>
          <w:color w:val="C55A11"/>
        </w:rPr>
        <w:t>企业政策性搬迁是指由于社会公共利益的需要，在政府主导下企业进行整体搬迁或部分搬迁。本案中的拆迁项目不属于政策性搬迁范围，所谓的拆迁补偿款本质上是卖地收入</w:t>
      </w:r>
      <w:r w:rsidRPr="00F71AD5">
        <w:rPr>
          <w:rFonts w:hint="eastAsia"/>
        </w:rPr>
        <w:t>，</w:t>
      </w:r>
      <w:r w:rsidRPr="007B20CC">
        <w:rPr>
          <w:rFonts w:hint="eastAsia"/>
          <w:color w:val="C45911" w:themeColor="accent2" w:themeShade="BF"/>
        </w:rPr>
        <w:t>其用于后续生产经营的三个安置项目支出也不属于搬迁支出，不得在企业所得税税前扣除</w:t>
      </w:r>
      <w:r w:rsidRPr="00F71AD5">
        <w:rPr>
          <w:rFonts w:hint="eastAsia"/>
        </w:rPr>
        <w:t>。</w:t>
      </w:r>
    </w:p>
    <w:p w:rsidR="00F71AD5" w:rsidRPr="00F71AD5" w:rsidRDefault="00F71AD5" w:rsidP="007B20CC">
      <w:pPr>
        <w:pStyle w:val="a8"/>
        <w:spacing w:beforeLines="50" w:beforeAutospacing="0" w:afterLines="50" w:afterAutospacing="0" w:line="360" w:lineRule="auto"/>
        <w:ind w:firstLine="384"/>
      </w:pPr>
      <w:r w:rsidRPr="00F71AD5">
        <w:rPr>
          <w:rFonts w:hint="eastAsia"/>
        </w:rPr>
        <w:t> </w:t>
      </w:r>
    </w:p>
    <w:p w:rsidR="00F71AD5" w:rsidRPr="00F71AD5" w:rsidRDefault="00F71AD5" w:rsidP="007B20CC">
      <w:pPr>
        <w:pStyle w:val="1"/>
        <w:spacing w:beforeLines="50" w:beforeAutospacing="0" w:afterLines="50" w:afterAutospacing="0" w:line="360" w:lineRule="auto"/>
        <w:rPr>
          <w:rFonts w:ascii="宋体" w:eastAsia="宋体" w:hAnsi="宋体"/>
          <w:sz w:val="24"/>
          <w:szCs w:val="24"/>
        </w:rPr>
      </w:pPr>
      <w:r w:rsidRPr="00F71AD5">
        <w:rPr>
          <w:rFonts w:ascii="宋体" w:eastAsia="宋体" w:hAnsi="宋体" w:hint="eastAsia"/>
          <w:sz w:val="24"/>
          <w:szCs w:val="24"/>
        </w:rPr>
        <w:t>案例评析</w:t>
      </w:r>
    </w:p>
    <w:p w:rsidR="00F71AD5" w:rsidRPr="00F71AD5" w:rsidRDefault="00F71AD5" w:rsidP="007B20CC">
      <w:pPr>
        <w:pStyle w:val="a8"/>
        <w:spacing w:beforeLines="50" w:beforeAutospacing="0" w:afterLines="50" w:afterAutospacing="0" w:line="360" w:lineRule="auto"/>
      </w:pPr>
      <w:r w:rsidRPr="00F71AD5">
        <w:rPr>
          <w:rFonts w:hint="eastAsia"/>
        </w:rPr>
        <w:lastRenderedPageBreak/>
        <w:t> </w:t>
      </w:r>
    </w:p>
    <w:p w:rsidR="00F71AD5" w:rsidRPr="00F71AD5" w:rsidRDefault="00F71AD5" w:rsidP="007B20CC">
      <w:pPr>
        <w:pStyle w:val="a8"/>
        <w:spacing w:beforeLines="50" w:beforeAutospacing="0" w:afterLines="50" w:afterAutospacing="0" w:line="360" w:lineRule="auto"/>
        <w:ind w:firstLine="384"/>
      </w:pPr>
      <w:r w:rsidRPr="00F71AD5">
        <w:rPr>
          <w:rFonts w:hint="eastAsia"/>
        </w:rPr>
        <w:t>本案中应收拆迁补偿款的合同主体X公司已注销，其集团母公司T公司代收拆迁补偿款，该笔款项作为无法偿付的应付款，应依法缴纳企业所得税。税务机关在检查过程中正确适用有关政策规定，挽回了国家税款损失。以本案为鉴，可以得到以下启示：</w:t>
      </w:r>
    </w:p>
    <w:p w:rsidR="00F71AD5" w:rsidRPr="00F71AD5" w:rsidRDefault="00F71AD5" w:rsidP="007B20CC">
      <w:pPr>
        <w:pStyle w:val="2"/>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一、关注企业“其他收入”的缴税情况</w:t>
      </w:r>
    </w:p>
    <w:p w:rsidR="00F71AD5" w:rsidRPr="00F71AD5" w:rsidRDefault="00F71AD5" w:rsidP="007B20CC">
      <w:pPr>
        <w:pStyle w:val="a8"/>
        <w:spacing w:beforeLines="50" w:beforeAutospacing="0" w:afterLines="50" w:afterAutospacing="0" w:line="360" w:lineRule="auto"/>
        <w:ind w:firstLine="384"/>
      </w:pPr>
      <w:r w:rsidRPr="00F71AD5">
        <w:rPr>
          <w:rFonts w:hint="eastAsia"/>
        </w:rPr>
        <w:t>在企业的财务处理上，“其他收入”往往是其逃避缴纳税款的多发领域。检查中，应关注企业账簿中“其他收入”科目，对企业取得逾期未退包装物押金收入、确实无法偿付的应付款项、补贴等收人的，应进一步检查，了解有关收入的具体来源和性质，查清相应的税款是否按规定足额缴纳，防止税款流失。</w:t>
      </w:r>
    </w:p>
    <w:p w:rsidR="00F71AD5" w:rsidRPr="00F71AD5" w:rsidRDefault="00F71AD5" w:rsidP="007B20CC">
      <w:pPr>
        <w:pStyle w:val="2"/>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二、加强对征地拆迁业务的检查</w:t>
      </w:r>
    </w:p>
    <w:p w:rsidR="00F71AD5" w:rsidRPr="00F71AD5" w:rsidRDefault="00F71AD5" w:rsidP="007B20CC">
      <w:pPr>
        <w:pStyle w:val="a8"/>
        <w:spacing w:beforeLines="50" w:beforeAutospacing="0" w:afterLines="50" w:afterAutospacing="0" w:line="360" w:lineRule="auto"/>
        <w:ind w:firstLine="384"/>
      </w:pPr>
      <w:r w:rsidRPr="00F71AD5">
        <w:rPr>
          <w:rFonts w:hint="eastAsia"/>
        </w:rPr>
        <w:t>在涉及政策性搬迁业务的检查中，要按照《国家税务总局关于发布《企业政策性搬迁所得税管理办法》的公告》（</w:t>
      </w:r>
      <w:hyperlink r:id="rId20" w:history="1">
        <w:r w:rsidRPr="00F71AD5">
          <w:rPr>
            <w:rStyle w:val="a4"/>
            <w:rFonts w:hint="eastAsia"/>
          </w:rPr>
          <w:t>国家税务总局公告2012年第40号</w:t>
        </w:r>
      </w:hyperlink>
      <w:r w:rsidRPr="00F71AD5">
        <w:rPr>
          <w:rFonts w:hint="eastAsia"/>
        </w:rPr>
        <w:t>）相关规定进行处理，重点是准确判断涉案搬迁业务是否属于政策性搬迁范围，再按规定对搬迁费用进行甄别，只有符合条件的支出才可以在企业所得税税前扣除。</w:t>
      </w:r>
    </w:p>
    <w:p w:rsidR="00F71AD5" w:rsidRPr="00F71AD5" w:rsidRDefault="00F71AD5" w:rsidP="007B20CC">
      <w:pPr>
        <w:pStyle w:val="2"/>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三、合理处理已注销企业涉税事项</w:t>
      </w:r>
    </w:p>
    <w:p w:rsidR="00F71AD5" w:rsidRPr="00F71AD5" w:rsidRDefault="00F71AD5" w:rsidP="007B20CC">
      <w:pPr>
        <w:pStyle w:val="a8"/>
        <w:spacing w:beforeLines="50" w:beforeAutospacing="0" w:afterLines="50" w:afterAutospacing="0" w:line="360" w:lineRule="auto"/>
        <w:ind w:firstLine="384"/>
      </w:pPr>
      <w:r w:rsidRPr="00F71AD5">
        <w:rPr>
          <w:rFonts w:hint="eastAsia"/>
        </w:rPr>
        <w:t>根据《中华人民共和国民法通则》第三十六条第二款规定：“法人的民事权利能力和民事行为能力，从法人成立时产生，到法人终止时消灭。”本案中，应收拆迁补偿款的合同主体X公司已注销，企业法人资格消灭，鉴于该笔拆迁补偿款为应税收人，检查人员继续对该笔收入的取得方及实际受益方T公司进行检查，并依法向T公司追缴该笔拆迁补偿款对应的企业所得税。参考本案做法，检查中要关注被查企业与其他已注销企业相关的款项，合理处理已注销企业涉税事项。</w:t>
      </w:r>
    </w:p>
    <w:p w:rsidR="00F71AD5" w:rsidRPr="00F71AD5" w:rsidRDefault="00F71AD5" w:rsidP="007B20CC">
      <w:pPr>
        <w:pStyle w:val="2"/>
        <w:spacing w:beforeLines="50" w:beforeAutospacing="0" w:afterLines="50" w:afterAutospacing="0" w:line="360" w:lineRule="auto"/>
        <w:ind w:firstLine="384"/>
        <w:rPr>
          <w:rFonts w:ascii="宋体" w:eastAsia="宋体" w:hAnsi="宋体"/>
          <w:sz w:val="24"/>
          <w:szCs w:val="24"/>
        </w:rPr>
      </w:pPr>
      <w:r w:rsidRPr="00F71AD5">
        <w:rPr>
          <w:rFonts w:ascii="宋体" w:eastAsia="宋体" w:hAnsi="宋体" w:hint="eastAsia"/>
          <w:sz w:val="24"/>
          <w:szCs w:val="24"/>
        </w:rPr>
        <w:t>四、关注对集团企业往来款项的检查</w:t>
      </w:r>
    </w:p>
    <w:p w:rsidR="00F71AD5" w:rsidRPr="00F71AD5" w:rsidRDefault="00F71AD5" w:rsidP="007B20CC">
      <w:pPr>
        <w:pStyle w:val="a8"/>
        <w:spacing w:beforeLines="50" w:beforeAutospacing="0" w:afterLines="50" w:afterAutospacing="0" w:line="360" w:lineRule="auto"/>
        <w:ind w:firstLine="384"/>
      </w:pPr>
      <w:r w:rsidRPr="00F71AD5">
        <w:rPr>
          <w:rFonts w:hint="eastAsia"/>
        </w:rPr>
        <w:t>本案中，检查人员对企业财务报表中的特殊项目以及往来款项中金额较大的明细科目逐项核实，并就疑点项目一查到底，锁定证据，还原事实真相。实践中，</w:t>
      </w:r>
      <w:r w:rsidRPr="00F71AD5">
        <w:rPr>
          <w:rFonts w:hint="eastAsia"/>
        </w:rPr>
        <w:lastRenderedPageBreak/>
        <w:t>集团公司内部往往存在子公司资金由母公司统筹调配、拨付及使用的情况，检查中要重点关注企业的往来款项，防企业利用往来款项隐瞒收入少缴税款。</w:t>
      </w:r>
    </w:p>
    <w:p w:rsidR="00F71AD5" w:rsidRPr="00F71AD5" w:rsidRDefault="00F71AD5" w:rsidP="007C01B2">
      <w:pPr>
        <w:pStyle w:val="a8"/>
        <w:spacing w:beforeLines="50" w:beforeAutospacing="0" w:afterLines="50" w:afterAutospacing="0" w:line="360" w:lineRule="auto"/>
        <w:ind w:firstLine="384"/>
      </w:pPr>
      <w:r w:rsidRPr="007C01B2">
        <w:rPr>
          <w:rFonts w:eastAsia="楷体" w:hint="eastAsia"/>
          <w:color w:val="0070C0"/>
        </w:rPr>
        <w:t> </w:t>
      </w:r>
    </w:p>
    <w:p w:rsidR="00AC4578" w:rsidRPr="00F71AD5" w:rsidRDefault="00AC4578" w:rsidP="003B381D">
      <w:pPr>
        <w:spacing w:beforeLines="50" w:beforeAutospacing="0" w:afterLines="50" w:afterAutospacing="0" w:line="360" w:lineRule="auto"/>
        <w:rPr>
          <w:rFonts w:ascii="宋体" w:eastAsia="宋体" w:hAnsi="宋体"/>
        </w:rPr>
      </w:pPr>
    </w:p>
    <w:sectPr w:rsidR="00AC4578" w:rsidRPr="00F71AD5" w:rsidSect="004C2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B9B" w:rsidRDefault="00D74B9B" w:rsidP="000A0BBE">
      <w:pPr>
        <w:spacing w:before="0" w:after="0" w:line="240" w:lineRule="auto"/>
      </w:pPr>
      <w:r>
        <w:separator/>
      </w:r>
    </w:p>
  </w:endnote>
  <w:endnote w:type="continuationSeparator" w:id="1">
    <w:p w:rsidR="00D74B9B" w:rsidRDefault="00D74B9B" w:rsidP="000A0BB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B9B" w:rsidRDefault="00D74B9B" w:rsidP="000A0BBE">
      <w:pPr>
        <w:spacing w:before="0" w:after="0" w:line="240" w:lineRule="auto"/>
      </w:pPr>
      <w:r>
        <w:separator/>
      </w:r>
    </w:p>
  </w:footnote>
  <w:footnote w:type="continuationSeparator" w:id="1">
    <w:p w:rsidR="00D74B9B" w:rsidRDefault="00D74B9B" w:rsidP="000A0BBE">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47B"/>
    <w:rsid w:val="00016CCE"/>
    <w:rsid w:val="00022D55"/>
    <w:rsid w:val="00032E3D"/>
    <w:rsid w:val="00043834"/>
    <w:rsid w:val="00050B5C"/>
    <w:rsid w:val="000568DE"/>
    <w:rsid w:val="00065BA9"/>
    <w:rsid w:val="000828D5"/>
    <w:rsid w:val="00085249"/>
    <w:rsid w:val="000A0BBE"/>
    <w:rsid w:val="000E2731"/>
    <w:rsid w:val="00100939"/>
    <w:rsid w:val="0010174F"/>
    <w:rsid w:val="00120194"/>
    <w:rsid w:val="00126C60"/>
    <w:rsid w:val="0018253C"/>
    <w:rsid w:val="00186ECF"/>
    <w:rsid w:val="001D0127"/>
    <w:rsid w:val="001D3F4D"/>
    <w:rsid w:val="001F7041"/>
    <w:rsid w:val="00221EDC"/>
    <w:rsid w:val="0022440A"/>
    <w:rsid w:val="002479E5"/>
    <w:rsid w:val="00255106"/>
    <w:rsid w:val="002A2733"/>
    <w:rsid w:val="002B299C"/>
    <w:rsid w:val="002B4073"/>
    <w:rsid w:val="002D373B"/>
    <w:rsid w:val="002E29FC"/>
    <w:rsid w:val="002F419C"/>
    <w:rsid w:val="00307CB1"/>
    <w:rsid w:val="003450B5"/>
    <w:rsid w:val="00383A87"/>
    <w:rsid w:val="00394DC4"/>
    <w:rsid w:val="003B300E"/>
    <w:rsid w:val="003B381D"/>
    <w:rsid w:val="003F714A"/>
    <w:rsid w:val="0040239C"/>
    <w:rsid w:val="00412A5E"/>
    <w:rsid w:val="004247A1"/>
    <w:rsid w:val="00427EEE"/>
    <w:rsid w:val="004326F7"/>
    <w:rsid w:val="00466470"/>
    <w:rsid w:val="004740C5"/>
    <w:rsid w:val="004748DC"/>
    <w:rsid w:val="0049130A"/>
    <w:rsid w:val="00493D98"/>
    <w:rsid w:val="004A5E3E"/>
    <w:rsid w:val="004C171E"/>
    <w:rsid w:val="004C212F"/>
    <w:rsid w:val="004D0CC9"/>
    <w:rsid w:val="004D2FA3"/>
    <w:rsid w:val="004E52A3"/>
    <w:rsid w:val="00525169"/>
    <w:rsid w:val="005313D8"/>
    <w:rsid w:val="00541787"/>
    <w:rsid w:val="00545DF8"/>
    <w:rsid w:val="00550878"/>
    <w:rsid w:val="005A11B0"/>
    <w:rsid w:val="005B1EC2"/>
    <w:rsid w:val="005C5071"/>
    <w:rsid w:val="005C7490"/>
    <w:rsid w:val="005D3C0C"/>
    <w:rsid w:val="0060104E"/>
    <w:rsid w:val="00624DCA"/>
    <w:rsid w:val="00625239"/>
    <w:rsid w:val="00625311"/>
    <w:rsid w:val="00635D1C"/>
    <w:rsid w:val="00652C01"/>
    <w:rsid w:val="00660828"/>
    <w:rsid w:val="00663E5B"/>
    <w:rsid w:val="00676A40"/>
    <w:rsid w:val="00682742"/>
    <w:rsid w:val="00687828"/>
    <w:rsid w:val="006917CA"/>
    <w:rsid w:val="006C209F"/>
    <w:rsid w:val="006E357B"/>
    <w:rsid w:val="006E3599"/>
    <w:rsid w:val="006E3E26"/>
    <w:rsid w:val="006E49CF"/>
    <w:rsid w:val="006E76EE"/>
    <w:rsid w:val="0070349D"/>
    <w:rsid w:val="00720F29"/>
    <w:rsid w:val="007440D2"/>
    <w:rsid w:val="00752CF1"/>
    <w:rsid w:val="0077120C"/>
    <w:rsid w:val="00783C34"/>
    <w:rsid w:val="007941D7"/>
    <w:rsid w:val="007A4003"/>
    <w:rsid w:val="007A6F96"/>
    <w:rsid w:val="007B1337"/>
    <w:rsid w:val="007B20CC"/>
    <w:rsid w:val="007C01B2"/>
    <w:rsid w:val="007C0D6A"/>
    <w:rsid w:val="007C2FBA"/>
    <w:rsid w:val="007E479C"/>
    <w:rsid w:val="007F10A1"/>
    <w:rsid w:val="00824111"/>
    <w:rsid w:val="00840B39"/>
    <w:rsid w:val="008444D3"/>
    <w:rsid w:val="0085176F"/>
    <w:rsid w:val="00851D05"/>
    <w:rsid w:val="00870EEF"/>
    <w:rsid w:val="00893040"/>
    <w:rsid w:val="008A0A3D"/>
    <w:rsid w:val="008C45BD"/>
    <w:rsid w:val="008F65F4"/>
    <w:rsid w:val="008F765D"/>
    <w:rsid w:val="00920A9C"/>
    <w:rsid w:val="00922D28"/>
    <w:rsid w:val="00935BF3"/>
    <w:rsid w:val="009433C9"/>
    <w:rsid w:val="00945251"/>
    <w:rsid w:val="00974FFF"/>
    <w:rsid w:val="00986FCA"/>
    <w:rsid w:val="009A47F3"/>
    <w:rsid w:val="009C660E"/>
    <w:rsid w:val="009D3757"/>
    <w:rsid w:val="009E03FC"/>
    <w:rsid w:val="009E5431"/>
    <w:rsid w:val="00A2160E"/>
    <w:rsid w:val="00A2487D"/>
    <w:rsid w:val="00A5447B"/>
    <w:rsid w:val="00A62E79"/>
    <w:rsid w:val="00AB4705"/>
    <w:rsid w:val="00AC4578"/>
    <w:rsid w:val="00AD123C"/>
    <w:rsid w:val="00AE3ECF"/>
    <w:rsid w:val="00AF0236"/>
    <w:rsid w:val="00B02133"/>
    <w:rsid w:val="00B02FC0"/>
    <w:rsid w:val="00B23B50"/>
    <w:rsid w:val="00B34591"/>
    <w:rsid w:val="00B47B0C"/>
    <w:rsid w:val="00B514B3"/>
    <w:rsid w:val="00B938E8"/>
    <w:rsid w:val="00B93FD3"/>
    <w:rsid w:val="00B954BC"/>
    <w:rsid w:val="00BA3407"/>
    <w:rsid w:val="00BA66BD"/>
    <w:rsid w:val="00BB5115"/>
    <w:rsid w:val="00BB7B96"/>
    <w:rsid w:val="00C01FBF"/>
    <w:rsid w:val="00C10975"/>
    <w:rsid w:val="00C22DA0"/>
    <w:rsid w:val="00C358D7"/>
    <w:rsid w:val="00C52768"/>
    <w:rsid w:val="00C556F9"/>
    <w:rsid w:val="00C64F1F"/>
    <w:rsid w:val="00C87654"/>
    <w:rsid w:val="00CB153A"/>
    <w:rsid w:val="00CB4754"/>
    <w:rsid w:val="00CD4760"/>
    <w:rsid w:val="00CE2EB7"/>
    <w:rsid w:val="00CF4530"/>
    <w:rsid w:val="00D04BB0"/>
    <w:rsid w:val="00D25BAC"/>
    <w:rsid w:val="00D34820"/>
    <w:rsid w:val="00D3501C"/>
    <w:rsid w:val="00D431CD"/>
    <w:rsid w:val="00D45446"/>
    <w:rsid w:val="00D5630C"/>
    <w:rsid w:val="00D721FC"/>
    <w:rsid w:val="00D74B9B"/>
    <w:rsid w:val="00D96D98"/>
    <w:rsid w:val="00DA07EF"/>
    <w:rsid w:val="00DB404D"/>
    <w:rsid w:val="00DB6F35"/>
    <w:rsid w:val="00DE7549"/>
    <w:rsid w:val="00DF46A4"/>
    <w:rsid w:val="00E059F6"/>
    <w:rsid w:val="00E4707A"/>
    <w:rsid w:val="00E6119F"/>
    <w:rsid w:val="00E621B3"/>
    <w:rsid w:val="00E83700"/>
    <w:rsid w:val="00E86883"/>
    <w:rsid w:val="00E95299"/>
    <w:rsid w:val="00E96E31"/>
    <w:rsid w:val="00EA1047"/>
    <w:rsid w:val="00EA1817"/>
    <w:rsid w:val="00EB4965"/>
    <w:rsid w:val="00ED3216"/>
    <w:rsid w:val="00F41CB9"/>
    <w:rsid w:val="00F5520A"/>
    <w:rsid w:val="00F6190D"/>
    <w:rsid w:val="00F61988"/>
    <w:rsid w:val="00F71AD5"/>
    <w:rsid w:val="00F77827"/>
    <w:rsid w:val="00F854DA"/>
    <w:rsid w:val="00FB7617"/>
    <w:rsid w:val="00FF1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DC"/>
    <w:pPr>
      <w:spacing w:line="312" w:lineRule="auto"/>
      <w:jc w:val="both"/>
    </w:pPr>
    <w:rPr>
      <w:rFonts w:ascii="仿宋" w:eastAsia="仿宋" w:hAnsi="仿宋"/>
      <w:sz w:val="24"/>
      <w:szCs w:val="28"/>
    </w:rPr>
  </w:style>
  <w:style w:type="paragraph" w:styleId="1">
    <w:name w:val="heading 1"/>
    <w:basedOn w:val="a"/>
    <w:next w:val="a"/>
    <w:link w:val="1Char"/>
    <w:uiPriority w:val="9"/>
    <w:qFormat/>
    <w:rsid w:val="00D3501C"/>
    <w:pPr>
      <w:jc w:val="center"/>
      <w:outlineLvl w:val="0"/>
    </w:pPr>
    <w:rPr>
      <w:b/>
      <w:bCs/>
      <w:sz w:val="36"/>
      <w:szCs w:val="40"/>
    </w:rPr>
  </w:style>
  <w:style w:type="paragraph" w:styleId="2">
    <w:name w:val="heading 2"/>
    <w:basedOn w:val="a"/>
    <w:next w:val="a"/>
    <w:link w:val="2Char"/>
    <w:uiPriority w:val="9"/>
    <w:unhideWhenUsed/>
    <w:qFormat/>
    <w:rsid w:val="000852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8524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501C"/>
    <w:rPr>
      <w:rFonts w:ascii="仿宋" w:eastAsia="仿宋" w:hAnsi="仿宋"/>
      <w:b/>
      <w:bCs/>
      <w:sz w:val="36"/>
      <w:szCs w:val="40"/>
    </w:rPr>
  </w:style>
  <w:style w:type="paragraph" w:styleId="a3">
    <w:name w:val="No Spacing"/>
    <w:uiPriority w:val="1"/>
    <w:qFormat/>
    <w:rsid w:val="008C45BD"/>
    <w:pPr>
      <w:spacing w:before="0" w:beforeAutospacing="0" w:after="0" w:afterAutospacing="0" w:line="240" w:lineRule="auto"/>
    </w:pPr>
  </w:style>
  <w:style w:type="character" w:customStyle="1" w:styleId="2Char">
    <w:name w:val="标题 2 Char"/>
    <w:basedOn w:val="a0"/>
    <w:link w:val="2"/>
    <w:uiPriority w:val="9"/>
    <w:rsid w:val="0008524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85249"/>
    <w:rPr>
      <w:rFonts w:ascii="仿宋" w:eastAsia="仿宋" w:hAnsi="仿宋"/>
      <w:b/>
      <w:bCs/>
      <w:sz w:val="32"/>
      <w:szCs w:val="32"/>
    </w:rPr>
  </w:style>
  <w:style w:type="character" w:styleId="a4">
    <w:name w:val="Hyperlink"/>
    <w:basedOn w:val="a0"/>
    <w:uiPriority w:val="99"/>
    <w:unhideWhenUsed/>
    <w:rsid w:val="00394DC4"/>
    <w:rPr>
      <w:color w:val="0563C1" w:themeColor="hyperlink"/>
      <w:u w:val="single"/>
    </w:rPr>
  </w:style>
  <w:style w:type="character" w:customStyle="1" w:styleId="10">
    <w:name w:val="未处理的提及1"/>
    <w:basedOn w:val="a0"/>
    <w:uiPriority w:val="99"/>
    <w:semiHidden/>
    <w:unhideWhenUsed/>
    <w:rsid w:val="00394DC4"/>
    <w:rPr>
      <w:color w:val="605E5C"/>
      <w:shd w:val="clear" w:color="auto" w:fill="E1DFDD"/>
    </w:rPr>
  </w:style>
  <w:style w:type="paragraph" w:styleId="a5">
    <w:name w:val="Document Map"/>
    <w:basedOn w:val="a"/>
    <w:link w:val="Char"/>
    <w:uiPriority w:val="99"/>
    <w:semiHidden/>
    <w:unhideWhenUsed/>
    <w:rsid w:val="000A0BBE"/>
    <w:rPr>
      <w:rFonts w:ascii="宋体" w:eastAsia="宋体"/>
      <w:sz w:val="18"/>
      <w:szCs w:val="18"/>
    </w:rPr>
  </w:style>
  <w:style w:type="character" w:customStyle="1" w:styleId="Char">
    <w:name w:val="文档结构图 Char"/>
    <w:basedOn w:val="a0"/>
    <w:link w:val="a5"/>
    <w:uiPriority w:val="99"/>
    <w:semiHidden/>
    <w:rsid w:val="000A0BBE"/>
    <w:rPr>
      <w:rFonts w:ascii="宋体" w:eastAsia="宋体" w:hAnsi="仿宋"/>
      <w:sz w:val="18"/>
      <w:szCs w:val="18"/>
    </w:rPr>
  </w:style>
  <w:style w:type="paragraph" w:styleId="a6">
    <w:name w:val="header"/>
    <w:basedOn w:val="a"/>
    <w:link w:val="Char0"/>
    <w:uiPriority w:val="99"/>
    <w:semiHidden/>
    <w:unhideWhenUsed/>
    <w:rsid w:val="000A0BB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semiHidden/>
    <w:rsid w:val="000A0BBE"/>
    <w:rPr>
      <w:rFonts w:ascii="仿宋" w:eastAsia="仿宋" w:hAnsi="仿宋"/>
      <w:sz w:val="18"/>
      <w:szCs w:val="18"/>
    </w:rPr>
  </w:style>
  <w:style w:type="paragraph" w:styleId="a7">
    <w:name w:val="footer"/>
    <w:basedOn w:val="a"/>
    <w:link w:val="Char1"/>
    <w:uiPriority w:val="99"/>
    <w:semiHidden/>
    <w:unhideWhenUsed/>
    <w:rsid w:val="000A0BBE"/>
    <w:pPr>
      <w:tabs>
        <w:tab w:val="center" w:pos="4153"/>
        <w:tab w:val="right" w:pos="8306"/>
      </w:tabs>
      <w:snapToGrid w:val="0"/>
      <w:spacing w:line="240" w:lineRule="auto"/>
      <w:jc w:val="left"/>
    </w:pPr>
    <w:rPr>
      <w:sz w:val="18"/>
      <w:szCs w:val="18"/>
    </w:rPr>
  </w:style>
  <w:style w:type="character" w:customStyle="1" w:styleId="Char1">
    <w:name w:val="页脚 Char"/>
    <w:basedOn w:val="a0"/>
    <w:link w:val="a7"/>
    <w:uiPriority w:val="99"/>
    <w:semiHidden/>
    <w:rsid w:val="000A0BBE"/>
    <w:rPr>
      <w:rFonts w:ascii="仿宋" w:eastAsia="仿宋" w:hAnsi="仿宋"/>
      <w:sz w:val="18"/>
      <w:szCs w:val="18"/>
    </w:rPr>
  </w:style>
  <w:style w:type="paragraph" w:styleId="a8">
    <w:name w:val="Normal (Web)"/>
    <w:basedOn w:val="a"/>
    <w:uiPriority w:val="99"/>
    <w:unhideWhenUsed/>
    <w:rsid w:val="00F71AD5"/>
    <w:pPr>
      <w:spacing w:line="240" w:lineRule="auto"/>
      <w:jc w:val="left"/>
    </w:pPr>
    <w:rPr>
      <w:rFonts w:ascii="宋体" w:eastAsia="宋体" w:hAnsi="宋体" w:cs="宋体"/>
      <w:kern w:val="0"/>
      <w:szCs w:val="24"/>
    </w:rPr>
  </w:style>
  <w:style w:type="character" w:styleId="a9">
    <w:name w:val="Strong"/>
    <w:basedOn w:val="a0"/>
    <w:uiPriority w:val="22"/>
    <w:qFormat/>
    <w:rsid w:val="00F71AD5"/>
    <w:rPr>
      <w:b/>
      <w:bCs/>
    </w:rPr>
  </w:style>
</w:styles>
</file>

<file path=word/webSettings.xml><?xml version="1.0" encoding="utf-8"?>
<w:webSettings xmlns:r="http://schemas.openxmlformats.org/officeDocument/2006/relationships" xmlns:w="http://schemas.openxmlformats.org/wordprocessingml/2006/main">
  <w:divs>
    <w:div w:id="18681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520.html" TargetMode="External"/><Relationship Id="rId13" Type="http://schemas.openxmlformats.org/officeDocument/2006/relationships/hyperlink" Target="http://ssfb86.com/index/News/detail/newsid/7083.html" TargetMode="External"/><Relationship Id="rId18" Type="http://schemas.openxmlformats.org/officeDocument/2006/relationships/hyperlink" Target="http://ssfb86.com/index/News/detail/newsid/575.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fb86.com/index/News/detail/newsid/1036.html" TargetMode="External"/><Relationship Id="rId12" Type="http://schemas.openxmlformats.org/officeDocument/2006/relationships/hyperlink" Target="http://ssfb86.com/index/News/detail/newsid/1447.html" TargetMode="External"/><Relationship Id="rId17" Type="http://schemas.openxmlformats.org/officeDocument/2006/relationships/hyperlink" Target="http://ssfb86.com/index/News/detail/newsid/1036.html" TargetMode="External"/><Relationship Id="rId2" Type="http://schemas.openxmlformats.org/officeDocument/2006/relationships/settings" Target="settings.xml"/><Relationship Id="rId16" Type="http://schemas.openxmlformats.org/officeDocument/2006/relationships/hyperlink" Target="http://ssfb86.com/index/News/detail/newsid/1868.html" TargetMode="External"/><Relationship Id="rId20" Type="http://schemas.openxmlformats.org/officeDocument/2006/relationships/hyperlink" Target="file:///C:\Users\fzr\Desktop\2020%E5%B9%B4%E5%BA%A6%E5%85%A8%E5%9B%BD%E4%BC%98%E7%A7%80%E7%A8%BD%E6%9F%A5%E6%A1%88%E4%BE%8B\%E5%9B%BD%E5%AE%B6%E7%A8%8E%E5%8A%A1%E6%80%BB%E5%B1%80%E5%85%AC%E5%91%8A2012%E5%B9%B4%E7%AC%AC40%E5%8F%B7" TargetMode="External"/><Relationship Id="rId1" Type="http://schemas.openxmlformats.org/officeDocument/2006/relationships/styles" Target="styles.xml"/><Relationship Id="rId6" Type="http://schemas.openxmlformats.org/officeDocument/2006/relationships/hyperlink" Target="http://ssfb86.com/index/News/detail/newsid/1036.html" TargetMode="External"/><Relationship Id="rId11" Type="http://schemas.openxmlformats.org/officeDocument/2006/relationships/hyperlink" Target="http://ssfb86.com/index/News/detail/newsid/1036.html" TargetMode="External"/><Relationship Id="rId5" Type="http://schemas.openxmlformats.org/officeDocument/2006/relationships/endnotes" Target="endnotes.xml"/><Relationship Id="rId15" Type="http://schemas.openxmlformats.org/officeDocument/2006/relationships/hyperlink" Target="http://ssfb86.com/index/News/detail/newsid/575.html" TargetMode="Externa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1520.html" TargetMode="External"/><Relationship Id="rId4" Type="http://schemas.openxmlformats.org/officeDocument/2006/relationships/footnotes" Target="footnotes.xml"/><Relationship Id="rId9" Type="http://schemas.openxmlformats.org/officeDocument/2006/relationships/hyperlink" Target="http://ssfb86.com/index/News/detail/newsid/10002.html" TargetMode="External"/><Relationship Id="rId14" Type="http://schemas.openxmlformats.org/officeDocument/2006/relationships/hyperlink" Target="http://ssfb86.com/index/News/detail/newsid/575.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A2949</dc:creator>
  <cp:lastModifiedBy>tsuser</cp:lastModifiedBy>
  <cp:revision>2</cp:revision>
  <dcterms:created xsi:type="dcterms:W3CDTF">2022-02-08T06:37:00Z</dcterms:created>
  <dcterms:modified xsi:type="dcterms:W3CDTF">2022-02-08T06:37:00Z</dcterms:modified>
</cp:coreProperties>
</file>