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beforeAutospacing="0" w:after="156" w:afterLines="50" w:afterAutospacing="0" w:line="360" w:lineRule="auto"/>
        <w:rPr>
          <w:rFonts w:hint="eastAsia" w:ascii="宋体" w:hAnsi="宋体" w:eastAsia="宋体"/>
          <w:kern w:val="0"/>
        </w:rPr>
      </w:pPr>
      <w:r>
        <w:rPr>
          <w:rFonts w:hint="eastAsia" w:ascii="宋体" w:hAnsi="宋体" w:eastAsia="宋体"/>
          <w:kern w:val="0"/>
        </w:rPr>
        <w:t>2020税务稽查典型案例评析之八</w:t>
      </w:r>
    </w:p>
    <w:p>
      <w:pPr>
        <w:spacing w:before="156" w:beforeLines="50" w:beforeAutospacing="0" w:after="156" w:afterLines="50" w:afterAutospacing="0" w:line="360" w:lineRule="auto"/>
        <w:rPr>
          <w:rFonts w:hint="eastAsia" w:ascii="宋体" w:hAnsi="宋体" w:eastAsia="宋体"/>
          <w:kern w:val="0"/>
        </w:rPr>
      </w:pPr>
    </w:p>
    <w:p>
      <w:pPr>
        <w:pStyle w:val="2"/>
        <w:spacing w:before="156" w:beforeLines="50" w:beforeAutospacing="0" w:after="156" w:afterLines="50" w:afterAutospacing="0" w:line="360" w:lineRule="auto"/>
        <w:rPr>
          <w:rFonts w:hint="eastAsia" w:ascii="宋体" w:hAnsi="宋体" w:eastAsia="宋体"/>
          <w:sz w:val="24"/>
          <w:szCs w:val="24"/>
        </w:rPr>
      </w:pPr>
      <w:r>
        <w:rPr>
          <w:rFonts w:hint="eastAsia" w:ascii="宋体" w:hAnsi="宋体" w:eastAsia="宋体"/>
          <w:sz w:val="24"/>
          <w:szCs w:val="24"/>
        </w:rPr>
        <w:t>摘要</w:t>
      </w:r>
    </w:p>
    <w:p>
      <w:pPr>
        <w:pStyle w:val="7"/>
        <w:spacing w:before="156" w:beforeLines="50" w:beforeAutospacing="0" w:after="156" w:afterLines="50" w:afterAutospacing="0" w:line="360" w:lineRule="auto"/>
        <w:ind w:firstLine="386"/>
        <w:rPr>
          <w:rFonts w:hint="eastAsia"/>
          <w:color w:val="C55A11" w:themeColor="accent2" w:themeShade="BF"/>
        </w:rPr>
      </w:pPr>
    </w:p>
    <w:p>
      <w:pPr>
        <w:spacing w:before="156" w:beforeLines="50" w:beforeAutospacing="0" w:after="156"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rPr>
        <w:t>一、</w:t>
      </w:r>
      <w:r>
        <w:rPr>
          <w:rFonts w:hint="eastAsia" w:ascii="楷体" w:hAnsi="楷体" w:eastAsia="楷体" w:cs="楷体"/>
          <w:color w:val="0070C0"/>
          <w:szCs w:val="24"/>
        </w:rPr>
        <w:t>根据《</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"http://ssfb86.com/index/News/detail/newsid/465.html"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中华人民共和国增值税暂行条例</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》第九条、《</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"http://ssfb86.com/index/News/detail/newsid/575.html"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中华人民共和国企业所得税法</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》第十条第（八）项和《</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"http://ssfb86.com/index/News/detail/newsid/1036.html"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中华人民共和国税收征收管理法</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六十三条规定，税务机关认定A公司未实际购进货物，他人提供的海关进口增值税专用缴款书用于抵扣税款少缴增值税的违法行为，以及虚列成本少缴企业所得税的违法行为均构成偷税，应当给予税务行政处罚。但本次税务检查认定的A公司偷税违法行为与人民法院判处其走私废物罪所认定的非法行为系同一法律事实，鉴于人民法院已判处罚金，按照“一事不二罚”的原则，税务机关决定不予行政处罚。</w:t>
      </w:r>
    </w:p>
    <w:p>
      <w:pPr>
        <w:spacing w:before="156" w:beforeLines="50" w:beforeAutospacing="0" w:after="156"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szCs w:val="24"/>
          <w:lang w:eastAsia="zh-CN"/>
        </w:rPr>
        <w:t>二、</w:t>
      </w:r>
      <w:r>
        <w:rPr>
          <w:rFonts w:hint="eastAsia" w:ascii="楷体" w:hAnsi="楷体" w:eastAsia="楷体" w:cs="楷体"/>
          <w:color w:val="0070C0"/>
          <w:szCs w:val="24"/>
        </w:rPr>
        <w:t>根据《行政执法机关移送涉嫌犯罪案件的规定》（</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"http://ssfb86.com/index/News/detail/newsid/7267.html"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中华人民共和国国务院令第310号</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）第三条和《最高人民检察院公安部关于公安机关管辖的刑事案件立案追诉标准的规定（二）》（</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"http://ssfb86.com/index/News/detail/newsid/9469.html"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公通字〔2010〕23号</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五十七条规定，A公司的违法行为涉嫌构成逃税罪；且逃税罪侵害的客体是国家税收利益和税收征收管理秩序，走私废物罪侵害的客体是海关监管制度和国家禁止类废物进境制度，二罪性质不同，可能构成数罪，应予移送。公安机关认为，A公司走私废物的行为已被人民法院判处刑罚，人民法院定罪量刑时已考虑了A公司偷税行为的刑事责任，故税务机关无需再移送本案。</w:t>
      </w:r>
    </w:p>
    <w:p>
      <w:pPr>
        <w:spacing w:before="156" w:beforeLines="50" w:beforeAutospacing="0" w:after="156"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szCs w:val="24"/>
        </w:rPr>
        <w:t>当税务机关和公安机关对涉嫌犯罪案件的移送存在分歧时，可依法提请检察机关协调并予以立案监督，及时妥善进行处理，既防范执法风险，又提高工作效率。</w:t>
      </w:r>
    </w:p>
    <w:p>
      <w:pPr>
        <w:spacing w:before="156" w:beforeLines="50" w:beforeAutospacing="0" w:after="156" w:afterLines="50" w:afterAutospacing="0" w:line="360" w:lineRule="auto"/>
        <w:ind w:firstLine="480" w:firstLineChars="200"/>
        <w:rPr>
          <w:rFonts w:hint="eastAsia" w:ascii="楷体" w:hAnsi="楷体" w:eastAsia="楷体" w:cs="楷体"/>
          <w:color w:val="002060"/>
          <w:szCs w:val="24"/>
        </w:rPr>
      </w:pPr>
    </w:p>
    <w:p>
      <w:pPr>
        <w:spacing w:before="156" w:beforeLines="50" w:beforeAutospacing="0" w:after="156" w:afterLines="50" w:afterAutospacing="0" w:line="360" w:lineRule="auto"/>
        <w:ind w:firstLine="480" w:firstLineChars="200"/>
        <w:rPr>
          <w:rFonts w:hint="eastAsia" w:ascii="楷体" w:hAnsi="楷体" w:eastAsia="楷体"/>
          <w:color w:val="0070C0"/>
        </w:rPr>
      </w:pPr>
    </w:p>
    <w:p>
      <w:pPr>
        <w:pStyle w:val="2"/>
        <w:spacing w:before="156" w:beforeLines="50" w:beforeAutospacing="0" w:after="156" w:afterLines="50" w:afterAutospacing="0" w:line="360" w:lineRule="auto"/>
        <w:rPr>
          <w:rFonts w:hint="eastAsia" w:ascii="宋体" w:hAnsi="宋体" w:eastAsia="宋体"/>
          <w:sz w:val="24"/>
          <w:szCs w:val="24"/>
        </w:rPr>
      </w:pPr>
      <w:r>
        <w:rPr>
          <w:rFonts w:hint="eastAsia" w:ascii="宋体" w:hAnsi="宋体" w:eastAsia="宋体"/>
          <w:sz w:val="24"/>
          <w:szCs w:val="24"/>
        </w:rPr>
        <w:t>思考</w:t>
      </w:r>
    </w:p>
    <w:p>
      <w:pPr>
        <w:pStyle w:val="7"/>
        <w:spacing w:before="156" w:beforeLines="50" w:beforeAutospacing="0" w:after="156" w:afterLines="50" w:afterAutospacing="0" w:line="360" w:lineRule="auto"/>
        <w:ind w:firstLine="386"/>
        <w:rPr>
          <w:rFonts w:hint="eastAsia" w:ascii="楷体" w:hAnsi="楷体" w:eastAsia="楷体"/>
          <w:color w:val="0070C0"/>
        </w:rPr>
      </w:pPr>
    </w:p>
    <w:p>
      <w:pPr>
        <w:spacing w:before="156" w:beforeLines="50" w:beforeAutospacing="0" w:after="156"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szCs w:val="24"/>
        </w:rPr>
        <w:t>一、</w:t>
      </w:r>
      <w:r>
        <w:rPr>
          <w:rFonts w:hint="eastAsia" w:ascii="楷体" w:hAnsi="楷体" w:eastAsia="楷体" w:cs="楷体"/>
          <w:color w:val="0070C0"/>
          <w:szCs w:val="24"/>
          <w:lang w:eastAsia="zh-CN"/>
        </w:rPr>
        <w:t>对为其偷税提供进口增值税专用缴款书的相关人员，是否应按</w:t>
      </w:r>
      <w:r>
        <w:rPr>
          <w:rFonts w:hint="eastAsia" w:ascii="楷体" w:hAnsi="楷体" w:eastAsia="楷体" w:cs="楷体"/>
          <w:i w:val="0"/>
          <w:caps w:val="0"/>
          <w:color w:val="0070C0"/>
          <w:spacing w:val="0"/>
          <w:sz w:val="24"/>
          <w:szCs w:val="24"/>
          <w:bdr w:val="none" w:color="auto" w:sz="0" w:space="0"/>
          <w:shd w:val="clear" w:fill="FFFFFF"/>
        </w:rPr>
        <w:t>《</w:t>
      </w:r>
      <w:r>
        <w:rPr>
          <w:rFonts w:hint="eastAsia" w:ascii="楷体" w:hAnsi="楷体" w:eastAsia="楷体" w:cs="楷体"/>
          <w:i w:val="0"/>
          <w:caps w:val="0"/>
          <w:color w:val="0070C0"/>
          <w:spacing w:val="0"/>
          <w:sz w:val="24"/>
          <w:szCs w:val="24"/>
          <w:u w:val="single"/>
          <w:bdr w:val="none" w:color="auto" w:sz="0" w:space="0"/>
          <w:shd w:val="clear" w:fill="FFFFFF"/>
        </w:rPr>
        <w:fldChar w:fldCharType="begin"/>
      </w:r>
      <w:r>
        <w:rPr>
          <w:rFonts w:hint="eastAsia" w:ascii="楷体" w:hAnsi="楷体" w:eastAsia="楷体" w:cs="楷体"/>
          <w:i w:val="0"/>
          <w:caps w:val="0"/>
          <w:color w:val="0070C0"/>
          <w:spacing w:val="0"/>
          <w:sz w:val="24"/>
          <w:szCs w:val="24"/>
          <w:u w:val="single"/>
          <w:bdr w:val="none" w:color="auto" w:sz="0" w:space="0"/>
          <w:shd w:val="clear" w:fill="FFFFFF"/>
        </w:rPr>
        <w:instrText xml:space="preserve"> HYPERLINK "http://ssfb86.com/index/News/detail/newsid/828.html" </w:instrText>
      </w:r>
      <w:r>
        <w:rPr>
          <w:rFonts w:hint="eastAsia" w:ascii="楷体" w:hAnsi="楷体" w:eastAsia="楷体" w:cs="楷体"/>
          <w:i w:val="0"/>
          <w:caps w:val="0"/>
          <w:color w:val="0070C0"/>
          <w:spacing w:val="0"/>
          <w:sz w:val="24"/>
          <w:szCs w:val="24"/>
          <w:u w:val="single"/>
          <w:bdr w:val="none" w:color="auto" w:sz="0" w:space="0"/>
          <w:shd w:val="clear" w:fill="FFFFFF"/>
        </w:rPr>
        <w:fldChar w:fldCharType="separate"/>
      </w:r>
      <w:r>
        <w:rPr>
          <w:rStyle w:val="11"/>
          <w:rFonts w:hint="eastAsia" w:ascii="楷体" w:hAnsi="楷体" w:eastAsia="楷体" w:cs="楷体"/>
          <w:i w:val="0"/>
          <w:caps w:val="0"/>
          <w:color w:val="0070C0"/>
          <w:spacing w:val="0"/>
          <w:sz w:val="24"/>
          <w:szCs w:val="24"/>
          <w:u w:val="single"/>
          <w:bdr w:val="none" w:color="auto" w:sz="0" w:space="0"/>
          <w:shd w:val="clear" w:fill="FFFFFF"/>
        </w:rPr>
        <w:t>税收征管法实施细则</w:t>
      </w:r>
      <w:r>
        <w:rPr>
          <w:rFonts w:hint="eastAsia" w:ascii="楷体" w:hAnsi="楷体" w:eastAsia="楷体" w:cs="楷体"/>
          <w:i w:val="0"/>
          <w:caps w:val="0"/>
          <w:color w:val="0070C0"/>
          <w:spacing w:val="0"/>
          <w:sz w:val="24"/>
          <w:szCs w:val="24"/>
          <w:u w:val="single"/>
          <w:bdr w:val="none" w:color="auto" w:sz="0" w:space="0"/>
          <w:shd w:val="clear" w:fill="FFFFFF"/>
        </w:rPr>
        <w:fldChar w:fldCharType="end"/>
      </w:r>
      <w:bookmarkStart w:id="1" w:name="_GoBack"/>
      <w:bookmarkEnd w:id="1"/>
      <w:r>
        <w:rPr>
          <w:rFonts w:hint="eastAsia" w:ascii="楷体" w:hAnsi="楷体" w:eastAsia="楷体" w:cs="楷体"/>
          <w:i w:val="0"/>
          <w:caps w:val="0"/>
          <w:color w:val="0070C0"/>
          <w:spacing w:val="0"/>
          <w:sz w:val="24"/>
          <w:szCs w:val="24"/>
          <w:bdr w:val="none" w:color="auto" w:sz="0" w:space="0"/>
          <w:shd w:val="clear" w:fill="FFFFFF"/>
        </w:rPr>
        <w:t>》第九十三条</w:t>
      </w:r>
      <w:r>
        <w:rPr>
          <w:rFonts w:hint="eastAsia" w:ascii="楷体" w:hAnsi="楷体" w:eastAsia="楷体" w:cs="楷体"/>
          <w:i w:val="0"/>
          <w:caps w:val="0"/>
          <w:color w:val="0070C0"/>
          <w:spacing w:val="0"/>
          <w:sz w:val="24"/>
          <w:szCs w:val="24"/>
          <w:bdr w:val="none" w:color="auto" w:sz="0" w:space="0"/>
          <w:shd w:val="clear" w:fill="FFFFFF"/>
          <w:lang w:eastAsia="zh-CN"/>
        </w:rPr>
        <w:t>的规定，给予相应处罚</w:t>
      </w:r>
      <w:r>
        <w:rPr>
          <w:rFonts w:hint="eastAsia" w:ascii="楷体" w:hAnsi="楷体" w:eastAsia="楷体" w:cs="楷体"/>
          <w:color w:val="0070C0"/>
          <w:szCs w:val="24"/>
        </w:rPr>
        <w:t>？</w:t>
      </w:r>
    </w:p>
    <w:p>
      <w:pPr>
        <w:spacing w:before="156" w:beforeLines="50" w:beforeAutospacing="0" w:after="156" w:afterLines="50" w:afterAutospacing="0" w:line="360" w:lineRule="auto"/>
        <w:rPr>
          <w:rFonts w:hint="eastAsia" w:ascii="宋体" w:hAnsi="宋体" w:eastAsia="宋体"/>
          <w:kern w:val="0"/>
        </w:rPr>
      </w:pPr>
    </w:p>
    <w:p>
      <w:pPr>
        <w:spacing w:before="156" w:beforeLines="50" w:beforeAutospacing="0" w:after="156" w:afterLines="50" w:afterAutospacing="0" w:line="360" w:lineRule="auto"/>
        <w:ind w:firstLine="883" w:firstLineChars="200"/>
        <w:jc w:val="center"/>
        <w:rPr>
          <w:rFonts w:ascii="宋体" w:hAnsi="宋体" w:eastAsia="宋体"/>
          <w:b/>
          <w:bCs/>
          <w:color w:val="C55A11" w:themeColor="accent2" w:themeShade="BF"/>
          <w:sz w:val="44"/>
          <w:szCs w:val="44"/>
        </w:rPr>
      </w:pPr>
      <w:r>
        <w:rPr>
          <w:rFonts w:hint="eastAsia" w:ascii="宋体" w:hAnsi="宋体" w:eastAsia="宋体"/>
          <w:b/>
          <w:bCs/>
          <w:color w:val="C55A11" w:themeColor="accent2" w:themeShade="BF"/>
          <w:sz w:val="44"/>
          <w:szCs w:val="44"/>
        </w:rPr>
        <w:t>福建</w:t>
      </w:r>
      <w:r>
        <w:rPr>
          <w:rFonts w:ascii="宋体" w:hAnsi="宋体" w:eastAsia="宋体"/>
          <w:b/>
          <w:bCs/>
          <w:color w:val="C55A11" w:themeColor="accent2" w:themeShade="BF"/>
          <w:sz w:val="44"/>
          <w:szCs w:val="44"/>
        </w:rPr>
        <w:t>A化纤有限公司偷税案</w:t>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0" w:firstLineChars="200"/>
        <w:jc w:val="center"/>
        <w:rPr>
          <w:rFonts w:ascii="宋体" w:hAnsi="宋体" w:eastAsia="宋体"/>
          <w:szCs w:val="24"/>
        </w:rPr>
      </w:pPr>
      <w:r>
        <w:rPr>
          <w:rFonts w:hint="eastAsia" w:ascii="宋体" w:hAnsi="宋体" w:eastAsia="宋体"/>
          <w:szCs w:val="24"/>
        </w:rPr>
        <w:t>——</w:t>
      </w:r>
      <w:r>
        <w:fldChar w:fldCharType="begin"/>
      </w:r>
      <w:r>
        <w:instrText xml:space="preserve"> HYPERLINK "http://ssfb86.com/index/News/detail/newsid/10100.html" </w:instrText>
      </w:r>
      <w:r>
        <w:fldChar w:fldCharType="separate"/>
      </w:r>
      <w:r>
        <w:rPr>
          <w:rStyle w:val="10"/>
          <w:rFonts w:hint="eastAsia" w:ascii="宋体" w:hAnsi="宋体" w:eastAsia="宋体"/>
          <w:szCs w:val="24"/>
        </w:rPr>
        <w:t>提请人民检察院进行立案监督</w:t>
      </w:r>
      <w:r>
        <w:rPr>
          <w:rStyle w:val="11"/>
          <w:rFonts w:hint="eastAsia" w:ascii="宋体" w:hAnsi="宋体" w:eastAsia="宋体"/>
          <w:szCs w:val="24"/>
        </w:rPr>
        <w:fldChar w:fldCharType="end"/>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2" w:firstLineChars="200"/>
        <w:rPr>
          <w:rFonts w:ascii="宋体" w:hAnsi="宋体" w:eastAsia="宋体"/>
          <w:szCs w:val="24"/>
        </w:rPr>
      </w:pPr>
      <w:r>
        <w:rPr>
          <w:rFonts w:hint="eastAsia" w:ascii="宋体" w:hAnsi="宋体" w:eastAsia="宋体"/>
          <w:b/>
          <w:bCs/>
          <w:szCs w:val="24"/>
        </w:rPr>
        <w:t>〔关键词〕</w:t>
      </w:r>
      <w:r>
        <w:rPr>
          <w:rFonts w:hint="eastAsia" w:ascii="宋体" w:hAnsi="宋体" w:eastAsia="宋体"/>
          <w:szCs w:val="24"/>
        </w:rPr>
        <w:t>法院判决 行政处罚 立案监督</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基本案情</w:t>
      </w:r>
    </w:p>
    <w:p>
      <w:pPr>
        <w:spacing w:before="156" w:beforeLines="50" w:beforeAutospacing="0" w:after="156" w:afterLines="50" w:afterAutospacing="0" w:line="360" w:lineRule="auto"/>
        <w:ind w:firstLine="480" w:firstLineChars="200"/>
        <w:rPr>
          <w:rFonts w:ascii="宋体" w:hAnsi="宋体" w:eastAsia="宋体"/>
          <w:szCs w:val="24"/>
        </w:rPr>
      </w:pP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一、检查过程</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（一）案件来源：检察院转来涉嫌骗</w:t>
      </w:r>
      <w:r>
        <w:rPr>
          <w:rFonts w:ascii="宋体" w:hAnsi="宋体" w:eastAsia="宋体"/>
          <w:sz w:val="24"/>
          <w:szCs w:val="24"/>
        </w:rPr>
        <w:t>税线索</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2014年11月，福建省国家税务局接到福建省人民检察院来函；函告福建A化纤有限公司（以下简称A公司），</w:t>
      </w:r>
      <w:r>
        <w:rPr>
          <w:rFonts w:ascii="宋体" w:hAnsi="宋体" w:eastAsia="宋体"/>
          <w:color w:val="C55A11" w:themeColor="accent2" w:themeShade="BF"/>
          <w:szCs w:val="24"/>
        </w:rPr>
        <w:t>通过走私废物非法获取大量进口增值税专用缴款书，并向晋江市国家税务局进行虚假纳税申报抵扣进项税额</w:t>
      </w:r>
      <w:r>
        <w:rPr>
          <w:rFonts w:ascii="宋体" w:hAnsi="宋体" w:eastAsia="宋体"/>
          <w:szCs w:val="24"/>
        </w:rPr>
        <w:t>，获取巨额非法利益。</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检察院来函随附福建省高级人民法院《刑事判决书》，法院审理查明：</w:t>
      </w:r>
      <w:r>
        <w:rPr>
          <w:rFonts w:ascii="宋体" w:hAnsi="宋体" w:eastAsia="宋体"/>
          <w:color w:val="C55A11" w:themeColor="accent2" w:themeShade="BF"/>
          <w:szCs w:val="24"/>
        </w:rPr>
        <w:t>2010年底，A公司代理报关员蔡某力向A公司的法定代表人蔡某森提议，利用A公司持有的进口许可证，为非许可单位代理进口废塑料，从中牟利。双方商定由蔡某森提供印章，配合蔡某力向海关办理报关手续。蔡某力在废塑料进口后将相关的海关进口增值税缴款书交给A公司，用于抵扣A公司国内经营需要缴纳的增值税，A公司支付蔡某力每吨25——50元不等的费用。蔡某力明知实际货主未取得进口废塑</w:t>
      </w:r>
      <w:r>
        <w:rPr>
          <w:rFonts w:hint="eastAsia" w:ascii="宋体" w:hAnsi="宋体" w:eastAsia="宋体"/>
          <w:color w:val="C55A11" w:themeColor="accent2" w:themeShade="BF"/>
          <w:szCs w:val="24"/>
        </w:rPr>
        <w:t>料</w:t>
      </w:r>
      <w:r>
        <w:rPr>
          <w:rFonts w:ascii="宋体" w:hAnsi="宋体" w:eastAsia="宋体"/>
          <w:color w:val="C55A11" w:themeColor="accent2" w:themeShade="BF"/>
          <w:szCs w:val="24"/>
        </w:rPr>
        <w:t>许可，仍使用A公司进口许可证为其代理进口废塑料共计6800</w:t>
      </w:r>
      <w:bookmarkStart w:id="0" w:name="_Hlk94246391"/>
      <w:r>
        <w:rPr>
          <w:rFonts w:hint="eastAsia" w:ascii="宋体" w:hAnsi="宋体" w:eastAsia="宋体"/>
          <w:color w:val="C55A11" w:themeColor="accent2" w:themeShade="BF"/>
          <w:szCs w:val="24"/>
        </w:rPr>
        <w:t>.</w:t>
      </w:r>
      <w:bookmarkEnd w:id="0"/>
      <w:r>
        <w:rPr>
          <w:rFonts w:ascii="宋体" w:hAnsi="宋体" w:eastAsia="宋体"/>
          <w:color w:val="C55A11" w:themeColor="accent2" w:themeShade="BF"/>
          <w:szCs w:val="24"/>
        </w:rPr>
        <w:t>56吨。本案共涉及</w:t>
      </w:r>
      <w:r>
        <w:rPr>
          <w:rFonts w:hint="eastAsia" w:ascii="宋体" w:hAnsi="宋体" w:eastAsia="宋体"/>
          <w:color w:val="C55A11" w:themeColor="accent2" w:themeShade="BF"/>
          <w:szCs w:val="24"/>
        </w:rPr>
        <w:t>抵扣海关进口增值税专用缴款书</w:t>
      </w:r>
      <w:r>
        <w:rPr>
          <w:rFonts w:ascii="宋体" w:hAnsi="宋体" w:eastAsia="宋体"/>
          <w:color w:val="C55A11" w:themeColor="accent2" w:themeShade="BF"/>
          <w:szCs w:val="24"/>
        </w:rPr>
        <w:t>182份，税额合计490</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68万</w:t>
      </w:r>
      <w:r>
        <w:rPr>
          <w:rFonts w:ascii="宋体" w:hAnsi="宋体" w:eastAsia="宋体"/>
          <w:szCs w:val="24"/>
        </w:rPr>
        <w:t>元。法院终审判决A公司犯走私废物罪；判处罚金人民币100万元；判处A公司法定代表人蔡某森有期徒刑五年，并处罚金火民币10万元。</w:t>
      </w:r>
    </w:p>
    <w:p>
      <w:pPr>
        <w:spacing w:before="156" w:beforeLines="50" w:beforeAutospacing="0" w:after="156" w:afterLines="50" w:afterAutospacing="0" w:line="360" w:lineRule="auto"/>
        <w:ind w:firstLine="480" w:firstLineChars="200"/>
        <w:rPr>
          <w:rFonts w:hint="eastAsia" w:ascii="楷体" w:hAnsi="楷体" w:eastAsia="楷体" w:cs="楷体"/>
          <w:color w:val="0070C0"/>
          <w:szCs w:val="24"/>
          <w:lang w:eastAsia="zh-CN"/>
        </w:rPr>
      </w:pPr>
      <w:r>
        <w:rPr>
          <w:rFonts w:hint="eastAsia" w:ascii="楷体" w:hAnsi="楷体" w:eastAsia="楷体" w:cs="楷体"/>
          <w:color w:val="0070C0"/>
          <w:szCs w:val="24"/>
          <w:lang w:eastAsia="zh-CN"/>
        </w:rPr>
        <w:t>【提示：税务稽查中，不仅要对购进、销售金额进行简单分析，更要对进货、销货、库存的品种、数量的耦合性进行分析，进一步发现重大的进销差异和偷逃税行为！】</w:t>
      </w:r>
    </w:p>
    <w:p>
      <w:pPr>
        <w:spacing w:before="156" w:beforeLines="50" w:beforeAutospacing="0" w:after="156" w:afterLines="50" w:afterAutospacing="0" w:line="360" w:lineRule="auto"/>
        <w:ind w:firstLine="480" w:firstLineChars="200"/>
        <w:rPr>
          <w:rFonts w:ascii="宋体" w:hAnsi="宋体" w:eastAsia="宋体"/>
          <w:szCs w:val="24"/>
        </w:rPr>
      </w:pP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（二）立案检查：多方取正查清偷逃税款事实</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根据法院认定的上述案情，</w:t>
      </w:r>
      <w:r>
        <w:rPr>
          <w:rFonts w:ascii="宋体" w:hAnsi="宋体" w:eastAsia="宋体"/>
          <w:szCs w:val="24"/>
        </w:rPr>
        <w:t>A公司涉嫌偷逃巨额税款，福建省泉州市国家税务局稽查局立即对其立案调查。检查人员首先依法调取检查A公司2012——2013年度会计账</w:t>
      </w:r>
      <w:r>
        <w:rPr>
          <w:rFonts w:hint="eastAsia" w:ascii="宋体" w:hAnsi="宋体" w:eastAsia="宋体"/>
          <w:szCs w:val="24"/>
          <w:lang w:eastAsia="zh-CN"/>
        </w:rPr>
        <w:t>账</w:t>
      </w:r>
      <w:r>
        <w:rPr>
          <w:rFonts w:ascii="宋体" w:hAnsi="宋体" w:eastAsia="宋体"/>
          <w:szCs w:val="24"/>
        </w:rPr>
        <w:t>凭证，同时从以下方面开展调查取证工作：第一，调查A公司走私废物的相关情况。由于《刑事判决书》只载明走私废物的吨数，未列明走私废物具体涉及的海关进口报关单号，无法准确确定计税依据。检查人员到泉州海关缉私分局调取A公司走私废物的175单海关进口货物报关单</w:t>
      </w:r>
      <w:r>
        <w:rPr>
          <w:rFonts w:hint="eastAsia" w:ascii="宋体" w:hAnsi="宋体" w:eastAsia="宋体"/>
          <w:szCs w:val="24"/>
        </w:rPr>
        <w:t>明</w:t>
      </w:r>
      <w:r>
        <w:rPr>
          <w:rFonts w:ascii="宋体" w:hAnsi="宋体" w:eastAsia="宋体"/>
          <w:szCs w:val="24"/>
        </w:rPr>
        <w:t>细，进行比对分析。第二，调查A公司非法抵扣的进口增值税专用缴款书</w:t>
      </w:r>
      <w:r>
        <w:rPr>
          <w:rFonts w:hint="eastAsia" w:ascii="宋体" w:hAnsi="宋体" w:eastAsia="宋体"/>
          <w:szCs w:val="24"/>
        </w:rPr>
        <w:t>入</w:t>
      </w:r>
      <w:r>
        <w:rPr>
          <w:rFonts w:ascii="宋体" w:hAnsi="宋体" w:eastAsia="宋体"/>
          <w:szCs w:val="24"/>
        </w:rPr>
        <w:t>账情况、非法取得进口货物成本等发票入账</w:t>
      </w:r>
      <w:r>
        <w:rPr>
          <w:rFonts w:hint="eastAsia" w:ascii="宋体" w:hAnsi="宋体" w:eastAsia="宋体"/>
          <w:szCs w:val="24"/>
        </w:rPr>
        <w:t>核算情况以及企业所得税税前列支情况，确定补缴增值税和企业所得税的计税依据、纳税义务发生时间，从而准确计算应追缴的税款。第三，核对涉案进口增值税专用缴款书。根据晋江市国家税务局提供的</w:t>
      </w:r>
      <w:r>
        <w:rPr>
          <w:rFonts w:ascii="宋体" w:hAnsi="宋体" w:eastAsia="宋体"/>
          <w:szCs w:val="24"/>
        </w:rPr>
        <w:t>A公司2012年1月至2013年4月部分进口货物增值税</w:t>
      </w:r>
      <w:r>
        <w:rPr>
          <w:rFonts w:hint="eastAsia" w:ascii="宋体" w:hAnsi="宋体" w:eastAsia="宋体"/>
          <w:szCs w:val="24"/>
        </w:rPr>
        <w:t>抵扣</w:t>
      </w:r>
      <w:r>
        <w:rPr>
          <w:rFonts w:ascii="宋体" w:hAnsi="宋体" w:eastAsia="宋体"/>
          <w:szCs w:val="24"/>
        </w:rPr>
        <w:t>明细表、进口增值税专用缴款书以及企业申报纳税情况，确定A公司实际抵扣的增值税税额。</w:t>
      </w:r>
      <w:r>
        <w:rPr>
          <w:rFonts w:hint="eastAsia" w:ascii="宋体" w:hAnsi="宋体" w:eastAsia="宋体"/>
          <w:szCs w:val="24"/>
        </w:rPr>
        <w:t>第</w:t>
      </w:r>
      <w:r>
        <w:rPr>
          <w:rFonts w:ascii="宋体" w:hAnsi="宋体" w:eastAsia="宋体"/>
          <w:szCs w:val="24"/>
        </w:rPr>
        <w:t>四，对A公司销项发票对应的业务进行延伸调查。通过产能分析，核查企业的机器设备、用电量、生产工人数量等生产要素，核实企业生产流程以及实际采购废塑料途径，检查销项发票开具是否存在问题。</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结合审核</w:t>
      </w:r>
      <w:r>
        <w:rPr>
          <w:rFonts w:ascii="宋体" w:hAnsi="宋体" w:eastAsia="宋体"/>
          <w:szCs w:val="24"/>
        </w:rPr>
        <w:t>A公司会计账簿，检查人员最终确定：公司于2012年3月至2013年8月向晋江市国家税务局实际申报抵扣海关进口增值税专用缴款书188份；涉及税额549</w:t>
      </w:r>
      <w:r>
        <w:rPr>
          <w:rFonts w:hint="eastAsia" w:ascii="宋体" w:hAnsi="宋体" w:eastAsia="宋体"/>
          <w:szCs w:val="24"/>
        </w:rPr>
        <w:t>.</w:t>
      </w:r>
      <w:r>
        <w:rPr>
          <w:rFonts w:ascii="宋体" w:hAnsi="宋体" w:eastAsia="宋体"/>
          <w:szCs w:val="24"/>
        </w:rPr>
        <w:t>5万元；A公司涉及走私废物罪的175份进口货物报关单对应的进口度塑料成本、进口关税、报关费、商品检验费等进口原材料成本费用合计2873</w:t>
      </w:r>
      <w:r>
        <w:rPr>
          <w:rFonts w:hint="eastAsia" w:ascii="宋体" w:hAnsi="宋体" w:eastAsia="宋体"/>
          <w:szCs w:val="24"/>
        </w:rPr>
        <w:t>.</w:t>
      </w:r>
      <w:r>
        <w:rPr>
          <w:rFonts w:ascii="宋体" w:hAnsi="宋体" w:eastAsia="宋体"/>
          <w:szCs w:val="24"/>
        </w:rPr>
        <w:t>74万元，均于2012——2013年结转销售成本</w:t>
      </w:r>
      <w:r>
        <w:rPr>
          <w:rFonts w:hint="eastAsia" w:ascii="宋体" w:hAnsi="宋体" w:eastAsia="宋体"/>
          <w:szCs w:val="24"/>
        </w:rPr>
        <w:t>，</w:t>
      </w:r>
      <w:r>
        <w:rPr>
          <w:rFonts w:ascii="宋体" w:hAnsi="宋体" w:eastAsia="宋体"/>
          <w:szCs w:val="24"/>
        </w:rPr>
        <w:t>并于企业所得税税前扣除。</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二、案件事实</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经查明，本案的主要事实如下</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2012——2013年，A公司在未实际购进及经营进口货物的情况下；利用自已取得的进口许可证，为其他非许可单位代理进口废塑</w:t>
      </w:r>
      <w:r>
        <w:rPr>
          <w:rFonts w:hint="eastAsia" w:ascii="宋体" w:hAnsi="宋体" w:eastAsia="宋体"/>
          <w:szCs w:val="24"/>
        </w:rPr>
        <w:t>料</w:t>
      </w:r>
      <w:r>
        <w:rPr>
          <w:rFonts w:ascii="宋体" w:hAnsi="宋体" w:eastAsia="宋体"/>
          <w:szCs w:val="24"/>
        </w:rPr>
        <w:t>。</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2</w:t>
      </w:r>
      <w:r>
        <w:rPr>
          <w:rFonts w:hint="eastAsia" w:ascii="宋体" w:hAnsi="宋体" w:eastAsia="宋体"/>
          <w:szCs w:val="24"/>
        </w:rPr>
        <w:t>、</w:t>
      </w:r>
      <w:r>
        <w:rPr>
          <w:rFonts w:ascii="宋体" w:hAnsi="宋体" w:eastAsia="宋体"/>
          <w:szCs w:val="24"/>
        </w:rPr>
        <w:t>A公司通过走私废物取得188份海关进口增值税专用缴款书，并于2012年3月至2013年8月向晋江市国家税务局申报抵扣增值税。</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3</w:t>
      </w:r>
      <w:r>
        <w:rPr>
          <w:rFonts w:hint="eastAsia" w:ascii="宋体" w:hAnsi="宋体" w:eastAsia="宋体"/>
          <w:szCs w:val="24"/>
        </w:rPr>
        <w:t>、</w:t>
      </w:r>
      <w:r>
        <w:rPr>
          <w:rFonts w:ascii="宋体" w:hAnsi="宋体" w:eastAsia="宋体"/>
          <w:szCs w:val="24"/>
        </w:rPr>
        <w:t>A公司将走私废物取得的175份进口货物报关单对应的进口材料成本、进</w:t>
      </w:r>
      <w:r>
        <w:rPr>
          <w:rFonts w:hint="eastAsia" w:ascii="宋体" w:hAnsi="宋体" w:eastAsia="宋体"/>
          <w:szCs w:val="24"/>
        </w:rPr>
        <w:t>口关税、港杂费、报关单、商品检验费等虚列成本并在税前扣除，少缴企业所得税。</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三、案件处理结果</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经审理，税务机关作出如下决定：</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1．A公司在未实际购进及经营进口货物的情况下取得海关进口增值税专用缴款书用于抵扣税款，少缴增值税549</w:t>
      </w:r>
      <w:r>
        <w:rPr>
          <w:rFonts w:hint="eastAsia" w:ascii="宋体" w:hAnsi="宋体" w:eastAsia="宋体"/>
          <w:szCs w:val="24"/>
        </w:rPr>
        <w:t>.</w:t>
      </w:r>
      <w:r>
        <w:rPr>
          <w:rFonts w:ascii="宋体" w:hAnsi="宋体" w:eastAsia="宋体"/>
          <w:szCs w:val="24"/>
        </w:rPr>
        <w:t>5万元；将取得的进口材料成本费用等票证用于虚列成本并在税前扣除，少缴企业所得税453</w:t>
      </w:r>
      <w:r>
        <w:rPr>
          <w:rFonts w:hint="eastAsia" w:ascii="宋体" w:hAnsi="宋体" w:eastAsia="宋体"/>
          <w:szCs w:val="24"/>
        </w:rPr>
        <w:t>.</w:t>
      </w:r>
      <w:r>
        <w:rPr>
          <w:rFonts w:ascii="宋体" w:hAnsi="宋体" w:eastAsia="宋体"/>
          <w:szCs w:val="24"/>
        </w:rPr>
        <w:t>8万元。追缴上述税款共计1003</w:t>
      </w:r>
      <w:r>
        <w:rPr>
          <w:rFonts w:hint="eastAsia" w:ascii="宋体" w:hAnsi="宋体" w:eastAsia="宋体"/>
          <w:szCs w:val="24"/>
        </w:rPr>
        <w:t>.</w:t>
      </w:r>
      <w:r>
        <w:rPr>
          <w:rFonts w:ascii="宋体" w:hAnsi="宋体" w:eastAsia="宋体"/>
          <w:szCs w:val="24"/>
        </w:rPr>
        <w:t>3万元。</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2．A公司的违法行为构成偷税，应予税务行政处罚。鉴于人民法院已先判处罚金，决定不予税务行政处罚。</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3．A公司的偷税行为涉嫌犯罪，移送公安机关依法追究其刑事责任。</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案件疑难</w:t>
      </w:r>
    </w:p>
    <w:p>
      <w:pPr>
        <w:spacing w:before="156" w:beforeLines="50" w:beforeAutospacing="0" w:after="156" w:afterLines="50" w:afterAutospacing="0" w:line="360" w:lineRule="auto"/>
        <w:ind w:firstLine="480" w:firstLineChars="200"/>
        <w:rPr>
          <w:rFonts w:ascii="宋体" w:hAnsi="宋体" w:eastAsia="宋体"/>
          <w:szCs w:val="24"/>
        </w:rPr>
      </w:pP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一、关于是否给予行政处罚问题</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是否给予</w:t>
      </w:r>
      <w:r>
        <w:rPr>
          <w:rFonts w:ascii="宋体" w:hAnsi="宋体" w:eastAsia="宋体"/>
          <w:szCs w:val="24"/>
        </w:rPr>
        <w:t>A公司税务行政处罚是行刑衔接的关键环节，也是贯彻“一事不二罚”原则的重要体现。本案中，根据《</w:t>
      </w:r>
      <w:r>
        <w:fldChar w:fldCharType="begin"/>
      </w:r>
      <w:r>
        <w:instrText xml:space="preserve"> HYPERLINK "http://ssfb86.com/index/News/detail/newsid/465.html" </w:instrText>
      </w:r>
      <w:r>
        <w:fldChar w:fldCharType="separate"/>
      </w:r>
      <w:r>
        <w:rPr>
          <w:rStyle w:val="11"/>
          <w:rFonts w:ascii="宋体" w:hAnsi="宋体" w:eastAsia="宋体"/>
          <w:szCs w:val="24"/>
        </w:rPr>
        <w:t>中华人民共和国增值税暂行条例</w:t>
      </w:r>
      <w:r>
        <w:rPr>
          <w:rStyle w:val="11"/>
          <w:rFonts w:ascii="宋体" w:hAnsi="宋体" w:eastAsia="宋体"/>
          <w:szCs w:val="24"/>
        </w:rPr>
        <w:fldChar w:fldCharType="end"/>
      </w:r>
      <w:r>
        <w:rPr>
          <w:rFonts w:ascii="宋体" w:hAnsi="宋体" w:eastAsia="宋体"/>
          <w:szCs w:val="24"/>
        </w:rPr>
        <w:t>》第九条、《</w:t>
      </w:r>
      <w:r>
        <w:fldChar w:fldCharType="begin"/>
      </w:r>
      <w:r>
        <w:instrText xml:space="preserve"> HYPERLINK "http://ssfb86.com/index/News/detail/newsid/575.html" </w:instrText>
      </w:r>
      <w:r>
        <w:fldChar w:fldCharType="separate"/>
      </w:r>
      <w:r>
        <w:rPr>
          <w:rStyle w:val="11"/>
          <w:rFonts w:ascii="宋体" w:hAnsi="宋体" w:eastAsia="宋体"/>
          <w:szCs w:val="24"/>
        </w:rPr>
        <w:t>中华人民共和国企业所得税法</w:t>
      </w:r>
      <w:r>
        <w:rPr>
          <w:rStyle w:val="11"/>
          <w:rFonts w:ascii="宋体" w:hAnsi="宋体" w:eastAsia="宋体"/>
          <w:szCs w:val="24"/>
        </w:rPr>
        <w:fldChar w:fldCharType="end"/>
      </w:r>
      <w:r>
        <w:rPr>
          <w:rFonts w:ascii="宋体" w:hAnsi="宋体" w:eastAsia="宋体"/>
          <w:szCs w:val="24"/>
        </w:rPr>
        <w:t>》第十条第（八）项和《</w:t>
      </w:r>
      <w:r>
        <w:fldChar w:fldCharType="begin"/>
      </w:r>
      <w:r>
        <w:instrText xml:space="preserve"> HYPERLINK "http://ssfb86.com/index/News/detail/newsid/1036.html" </w:instrText>
      </w:r>
      <w:r>
        <w:fldChar w:fldCharType="separate"/>
      </w:r>
      <w:r>
        <w:rPr>
          <w:rStyle w:val="11"/>
          <w:rFonts w:ascii="宋体" w:hAnsi="宋体" w:eastAsia="宋体"/>
          <w:szCs w:val="24"/>
        </w:rPr>
        <w:t>中华人民共和国税收征收管理法</w:t>
      </w:r>
      <w:r>
        <w:rPr>
          <w:rStyle w:val="11"/>
          <w:rFonts w:ascii="宋体" w:hAnsi="宋体" w:eastAsia="宋体"/>
          <w:szCs w:val="24"/>
        </w:rPr>
        <w:fldChar w:fldCharType="end"/>
      </w:r>
      <w:r>
        <w:rPr>
          <w:rFonts w:ascii="宋体" w:hAnsi="宋体" w:eastAsia="宋体"/>
          <w:szCs w:val="24"/>
        </w:rPr>
        <w:t>》第六十三条规定，税务机关认定A公司未实际购进货物，他人提供的海关进口增值税专用缴款书用于抵扣税款少缴增值税的违法行为，以及虚列成本少缴企业所得税的违法行为均构成偷税，应当给予税务行政处罚。但本次税务检查认定的A公司偷税违法行为与人民法院判处其走私废物罪所认定的非法行为系同一法律事实，鉴于人民法</w:t>
      </w:r>
      <w:r>
        <w:rPr>
          <w:rFonts w:hint="eastAsia" w:ascii="宋体" w:hAnsi="宋体" w:eastAsia="宋体"/>
          <w:szCs w:val="24"/>
        </w:rPr>
        <w:t>院已判处罚金，按照“一事不二罚”的原则，税务机关决定不予行政处罚。</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二、关于本案是否应移送公安机关的问题</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本案中A公司的偷税行为涉嫌犯罪，关于是否需要移送，税务机关和公安机关持不同意见。税务机关认为，根据《行政执法机关移送涉嫌犯罪案件的规定》（</w:t>
      </w:r>
      <w:r>
        <w:fldChar w:fldCharType="begin"/>
      </w:r>
      <w:r>
        <w:instrText xml:space="preserve"> HYPERLINK "http://ssfb86.com/index/News/detail/newsid/7267.html" </w:instrText>
      </w:r>
      <w:r>
        <w:fldChar w:fldCharType="separate"/>
      </w:r>
      <w:r>
        <w:rPr>
          <w:rStyle w:val="11"/>
          <w:rFonts w:hint="eastAsia" w:ascii="宋体" w:hAnsi="宋体" w:eastAsia="宋体"/>
          <w:szCs w:val="24"/>
        </w:rPr>
        <w:t>中华人民共和国国务院令第</w:t>
      </w:r>
      <w:r>
        <w:rPr>
          <w:rStyle w:val="11"/>
          <w:rFonts w:ascii="宋体" w:hAnsi="宋体" w:eastAsia="宋体"/>
          <w:szCs w:val="24"/>
        </w:rPr>
        <w:t>310号</w:t>
      </w:r>
      <w:r>
        <w:rPr>
          <w:rStyle w:val="11"/>
          <w:rFonts w:ascii="宋体" w:hAnsi="宋体" w:eastAsia="宋体"/>
          <w:szCs w:val="24"/>
        </w:rPr>
        <w:fldChar w:fldCharType="end"/>
      </w:r>
      <w:r>
        <w:rPr>
          <w:rFonts w:ascii="宋体" w:hAnsi="宋体" w:eastAsia="宋体"/>
          <w:szCs w:val="24"/>
        </w:rPr>
        <w:t>）第三条和《最高人民检察院公安部关于公安机关管辖的刑事案件立案追诉标准的规定（二）》（</w:t>
      </w:r>
      <w:r>
        <w:fldChar w:fldCharType="begin"/>
      </w:r>
      <w:r>
        <w:instrText xml:space="preserve"> HYPERLINK "http://ssfb86.com/index/News/detail/newsid/9469.html" </w:instrText>
      </w:r>
      <w:r>
        <w:fldChar w:fldCharType="separate"/>
      </w:r>
      <w:r>
        <w:rPr>
          <w:rStyle w:val="11"/>
          <w:rFonts w:ascii="宋体" w:hAnsi="宋体" w:eastAsia="宋体"/>
          <w:szCs w:val="24"/>
        </w:rPr>
        <w:t>公通字〔2010〕23号</w:t>
      </w:r>
      <w:r>
        <w:rPr>
          <w:rStyle w:val="11"/>
          <w:rFonts w:ascii="宋体" w:hAnsi="宋体" w:eastAsia="宋体"/>
          <w:szCs w:val="24"/>
        </w:rPr>
        <w:fldChar w:fldCharType="end"/>
      </w:r>
      <w:r>
        <w:rPr>
          <w:rFonts w:ascii="宋体" w:hAnsi="宋体" w:eastAsia="宋体"/>
          <w:szCs w:val="24"/>
        </w:rPr>
        <w:t>）第五十七条规定，</w:t>
      </w:r>
      <w:r>
        <w:rPr>
          <w:rFonts w:ascii="宋体" w:hAnsi="宋体" w:eastAsia="宋体"/>
          <w:color w:val="C55A11" w:themeColor="accent2" w:themeShade="BF"/>
          <w:szCs w:val="24"/>
        </w:rPr>
        <w:t>A公司的违法行为涉嫌构成逃税罪（其中，2012年度偷税数额529</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4万元占应纳税额的45</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47％，2013年度偷税数额473</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9万元占应纳税额的49</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97％）；且逃税罪侵害的客体是国家税收利益和税收征收管理秩序，走私废物罪侵害的客体是海关监管制度和国家禁止类废物进境制度，二罪</w:t>
      </w:r>
      <w:r>
        <w:rPr>
          <w:rFonts w:hint="eastAsia" w:ascii="宋体" w:hAnsi="宋体" w:eastAsia="宋体"/>
          <w:color w:val="C55A11" w:themeColor="accent2" w:themeShade="BF"/>
          <w:szCs w:val="24"/>
        </w:rPr>
        <w:t>性质不同，可能构成数罪，应予移送，并于</w:t>
      </w:r>
      <w:r>
        <w:rPr>
          <w:rFonts w:ascii="宋体" w:hAnsi="宋体" w:eastAsia="宋体"/>
          <w:color w:val="C55A11" w:themeColor="accent2" w:themeShade="BF"/>
          <w:szCs w:val="24"/>
        </w:rPr>
        <w:t>2015年7月1日正式向公安机关移送。公安机关认为，A公司走私废物的行为已被人民法院判处刑罚，人民法院定罪量刑时已考虑了A公司偷税行为的刑事责任，故税务机关无需再移送本案</w:t>
      </w:r>
      <w:r>
        <w:rPr>
          <w:rFonts w:ascii="宋体" w:hAnsi="宋体" w:eastAsia="宋体"/>
          <w:szCs w:val="24"/>
        </w:rPr>
        <w:t>。</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由于双方存在分歧，税务机关提请人民检察院予以协调和监督。人民检察院审查后决定，对案件是否应移送给公安机关存在争议时，宜先将案件录入福建省行政执法和刑事司法信息共享平台，再由公安机关审查是否受理。随后税务机关将案件录入福建省行政执法和刑事司法信息共享平台。</w:t>
      </w:r>
      <w:r>
        <w:rPr>
          <w:rFonts w:ascii="宋体" w:hAnsi="宋体" w:eastAsia="宋体"/>
          <w:szCs w:val="24"/>
        </w:rPr>
        <w:t>2015年9月14日，公安机关向税务机关回函确认，A公司的逃税行为与法院《刑事判决书》中认定的走私废物罪系同一违法事实，公安机关无需再对本案立案侦查。</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案例评析</w:t>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本案线索来源于法院已判决的涉税案件，税务机关在法院审理查明事实的基础上调查取证，查清企业偷逃税款的事实并挽回税款损失。本案处理的重点在于税务机关是否给予涉案企业行政处罚及是否需要移送公安机关等问题，其间，税务机关提请人民检察院对案件移送予以协调和监督，妥善解决有关问题。以本案为鉴，可以得到以下启示：</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一、已判决涉税案件的行政处罚应坚持“一事不二罚”原则</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实践中，</w:t>
      </w:r>
      <w:r>
        <w:rPr>
          <w:rFonts w:hint="eastAsia" w:ascii="宋体" w:hAnsi="宋体" w:eastAsia="宋体"/>
          <w:color w:val="C55A11" w:themeColor="accent2" w:themeShade="BF"/>
          <w:szCs w:val="24"/>
        </w:rPr>
        <w:t>税务机关对于法院已判决的涉税案件是否需要再给予税务行政处罚，应当以事实为基础，考量刑事处罚和行政处罚是否为同一违法事实，按照“一事不二罚”的原则进行处理。本案中，法院定罪量刑时已考虑了</w:t>
      </w:r>
      <w:r>
        <w:rPr>
          <w:rFonts w:ascii="宋体" w:hAnsi="宋体" w:eastAsia="宋体"/>
          <w:color w:val="C55A11" w:themeColor="accent2" w:themeShade="BF"/>
          <w:szCs w:val="24"/>
        </w:rPr>
        <w:t>A公司</w:t>
      </w:r>
      <w:r>
        <w:rPr>
          <w:rFonts w:hint="eastAsia" w:ascii="宋体" w:hAnsi="宋体" w:eastAsia="宋体"/>
          <w:color w:val="C55A11" w:themeColor="accent2" w:themeShade="BF"/>
          <w:szCs w:val="24"/>
        </w:rPr>
        <w:t>偷税行为的刑事责任，对</w:t>
      </w:r>
      <w:r>
        <w:rPr>
          <w:rFonts w:ascii="宋体" w:hAnsi="宋体" w:eastAsia="宋体"/>
          <w:color w:val="C55A11" w:themeColor="accent2" w:themeShade="BF"/>
          <w:szCs w:val="24"/>
        </w:rPr>
        <w:t>A公司判处了罚金。因此，税务机关决定不再对A公司作出行政处罚</w:t>
      </w:r>
      <w:r>
        <w:rPr>
          <w:rFonts w:ascii="宋体" w:hAnsi="宋体" w:eastAsia="宋体"/>
          <w:szCs w:val="24"/>
        </w:rPr>
        <w:t>。</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二、加强沟通协调妥善处理案件移送问题</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color w:val="C55A11" w:themeColor="accent2" w:themeShade="BF"/>
          <w:szCs w:val="24"/>
        </w:rPr>
        <w:t>案件移送是查办涉嫌犯罪案件的重要环节。当税务机关和公安机关对涉嫌犯罪案件的移送存在分歧时，可依法提请检察机关协调并予以立案监督，及时妥善进行处理，既防范执法风险，又提高工作效率</w:t>
      </w:r>
      <w:r>
        <w:rPr>
          <w:rFonts w:hint="eastAsia" w:ascii="宋体" w:hAnsi="宋体" w:eastAsia="宋体"/>
          <w:szCs w:val="24"/>
        </w:rPr>
        <w:t>。</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三、强化多部门合作机制</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本案中，在原有定期数据传输共享和设置联络员的基础上，税务、海关、公安等部门建立起更加密切的合作机制，及时互通信息，协同调查分析，形成打击合力，加大了打击偷逃税款违法犯罪行为的力度，为案件查处奠定了坚实基础。</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8585832"/>
      <w:docPartObj>
        <w:docPartGallery w:val="autotext"/>
      </w:docPartObj>
    </w:sdtPr>
    <w:sdtContent>
      <w:sdt>
        <w:sdtPr>
          <w:id w:val="1728636285"/>
          <w:docPartObj>
            <w:docPartGallery w:val="autotext"/>
          </w:docPartObj>
        </w:sdtPr>
        <w:sdtContent>
          <w:p>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47B"/>
    <w:rsid w:val="00016CCE"/>
    <w:rsid w:val="00022D55"/>
    <w:rsid w:val="00032E3D"/>
    <w:rsid w:val="00043834"/>
    <w:rsid w:val="00050B5C"/>
    <w:rsid w:val="000568DE"/>
    <w:rsid w:val="00065BA9"/>
    <w:rsid w:val="000731B6"/>
    <w:rsid w:val="000828D5"/>
    <w:rsid w:val="00097BC1"/>
    <w:rsid w:val="00100939"/>
    <w:rsid w:val="0010174F"/>
    <w:rsid w:val="00120194"/>
    <w:rsid w:val="00126C60"/>
    <w:rsid w:val="0018253C"/>
    <w:rsid w:val="00186ECF"/>
    <w:rsid w:val="001D0127"/>
    <w:rsid w:val="001D3F4D"/>
    <w:rsid w:val="001F4D1A"/>
    <w:rsid w:val="001F7041"/>
    <w:rsid w:val="00221EDC"/>
    <w:rsid w:val="0022440A"/>
    <w:rsid w:val="002479E5"/>
    <w:rsid w:val="00255106"/>
    <w:rsid w:val="002A2733"/>
    <w:rsid w:val="002B299C"/>
    <w:rsid w:val="002B4073"/>
    <w:rsid w:val="002D373B"/>
    <w:rsid w:val="002E29FC"/>
    <w:rsid w:val="002F419C"/>
    <w:rsid w:val="00306CDF"/>
    <w:rsid w:val="00307CB1"/>
    <w:rsid w:val="003450B5"/>
    <w:rsid w:val="00383A87"/>
    <w:rsid w:val="00397FBF"/>
    <w:rsid w:val="003B300E"/>
    <w:rsid w:val="003F714A"/>
    <w:rsid w:val="0040239C"/>
    <w:rsid w:val="00412A5E"/>
    <w:rsid w:val="00427EEE"/>
    <w:rsid w:val="004326F7"/>
    <w:rsid w:val="004740C5"/>
    <w:rsid w:val="004748DC"/>
    <w:rsid w:val="00493D98"/>
    <w:rsid w:val="004A5E3E"/>
    <w:rsid w:val="004A6C2B"/>
    <w:rsid w:val="004C171E"/>
    <w:rsid w:val="004D0CC9"/>
    <w:rsid w:val="004D2FA3"/>
    <w:rsid w:val="004E76FD"/>
    <w:rsid w:val="00525169"/>
    <w:rsid w:val="005313D8"/>
    <w:rsid w:val="00541787"/>
    <w:rsid w:val="00545DF8"/>
    <w:rsid w:val="00550878"/>
    <w:rsid w:val="005A11B0"/>
    <w:rsid w:val="005B1EC2"/>
    <w:rsid w:val="005C5071"/>
    <w:rsid w:val="005C7075"/>
    <w:rsid w:val="0060104E"/>
    <w:rsid w:val="00624DCA"/>
    <w:rsid w:val="00625239"/>
    <w:rsid w:val="00625311"/>
    <w:rsid w:val="00635D1C"/>
    <w:rsid w:val="00645EC5"/>
    <w:rsid w:val="00652C01"/>
    <w:rsid w:val="00660828"/>
    <w:rsid w:val="00663E5B"/>
    <w:rsid w:val="00676A40"/>
    <w:rsid w:val="00682742"/>
    <w:rsid w:val="00687828"/>
    <w:rsid w:val="006917CA"/>
    <w:rsid w:val="006C209F"/>
    <w:rsid w:val="006E357B"/>
    <w:rsid w:val="006E3E26"/>
    <w:rsid w:val="006E49CF"/>
    <w:rsid w:val="006E76EE"/>
    <w:rsid w:val="0070349D"/>
    <w:rsid w:val="00720F29"/>
    <w:rsid w:val="00725B7B"/>
    <w:rsid w:val="007440D2"/>
    <w:rsid w:val="00752CF1"/>
    <w:rsid w:val="0077120C"/>
    <w:rsid w:val="00783C34"/>
    <w:rsid w:val="007941D7"/>
    <w:rsid w:val="007969AE"/>
    <w:rsid w:val="007A4003"/>
    <w:rsid w:val="007A6F96"/>
    <w:rsid w:val="007B1337"/>
    <w:rsid w:val="007C0D6A"/>
    <w:rsid w:val="007E479C"/>
    <w:rsid w:val="007F10A1"/>
    <w:rsid w:val="00824111"/>
    <w:rsid w:val="00840B39"/>
    <w:rsid w:val="008444D3"/>
    <w:rsid w:val="0085176F"/>
    <w:rsid w:val="00851D05"/>
    <w:rsid w:val="00870EEF"/>
    <w:rsid w:val="00893040"/>
    <w:rsid w:val="0089425C"/>
    <w:rsid w:val="008C45BD"/>
    <w:rsid w:val="008F65F4"/>
    <w:rsid w:val="008F765D"/>
    <w:rsid w:val="00920A9C"/>
    <w:rsid w:val="00922D28"/>
    <w:rsid w:val="00935BF3"/>
    <w:rsid w:val="009433C9"/>
    <w:rsid w:val="00945251"/>
    <w:rsid w:val="00974FFF"/>
    <w:rsid w:val="00986FCA"/>
    <w:rsid w:val="009A47F3"/>
    <w:rsid w:val="009C660E"/>
    <w:rsid w:val="009D3757"/>
    <w:rsid w:val="009E03FC"/>
    <w:rsid w:val="009E5431"/>
    <w:rsid w:val="00A2160E"/>
    <w:rsid w:val="00A2487D"/>
    <w:rsid w:val="00A5447B"/>
    <w:rsid w:val="00A62E79"/>
    <w:rsid w:val="00AA1F50"/>
    <w:rsid w:val="00AB4705"/>
    <w:rsid w:val="00AE3ECF"/>
    <w:rsid w:val="00AF0236"/>
    <w:rsid w:val="00B02133"/>
    <w:rsid w:val="00B04269"/>
    <w:rsid w:val="00B20F6C"/>
    <w:rsid w:val="00B34591"/>
    <w:rsid w:val="00B47B0C"/>
    <w:rsid w:val="00B514B3"/>
    <w:rsid w:val="00B938E8"/>
    <w:rsid w:val="00B93FD3"/>
    <w:rsid w:val="00B954BC"/>
    <w:rsid w:val="00BA3407"/>
    <w:rsid w:val="00BA66BD"/>
    <w:rsid w:val="00BB5115"/>
    <w:rsid w:val="00BB7B96"/>
    <w:rsid w:val="00C01FBF"/>
    <w:rsid w:val="00C22DA0"/>
    <w:rsid w:val="00C358D7"/>
    <w:rsid w:val="00C52768"/>
    <w:rsid w:val="00C556F9"/>
    <w:rsid w:val="00C64F1F"/>
    <w:rsid w:val="00C87654"/>
    <w:rsid w:val="00CA7FCD"/>
    <w:rsid w:val="00CB153A"/>
    <w:rsid w:val="00CB4754"/>
    <w:rsid w:val="00CE2EB7"/>
    <w:rsid w:val="00CF4530"/>
    <w:rsid w:val="00D04BB0"/>
    <w:rsid w:val="00D22421"/>
    <w:rsid w:val="00D25BAC"/>
    <w:rsid w:val="00D34820"/>
    <w:rsid w:val="00D3501C"/>
    <w:rsid w:val="00D431CD"/>
    <w:rsid w:val="00D45446"/>
    <w:rsid w:val="00D51077"/>
    <w:rsid w:val="00D5630C"/>
    <w:rsid w:val="00D721FC"/>
    <w:rsid w:val="00D96D98"/>
    <w:rsid w:val="00DA07EF"/>
    <w:rsid w:val="00DB404D"/>
    <w:rsid w:val="00DB6F35"/>
    <w:rsid w:val="00DE7549"/>
    <w:rsid w:val="00E059F6"/>
    <w:rsid w:val="00E4707A"/>
    <w:rsid w:val="00E6119F"/>
    <w:rsid w:val="00E621B3"/>
    <w:rsid w:val="00E86883"/>
    <w:rsid w:val="00E95299"/>
    <w:rsid w:val="00E96E31"/>
    <w:rsid w:val="00EA1047"/>
    <w:rsid w:val="00EA1817"/>
    <w:rsid w:val="00EB4965"/>
    <w:rsid w:val="00ED3216"/>
    <w:rsid w:val="00F13A69"/>
    <w:rsid w:val="00F41CB9"/>
    <w:rsid w:val="00F5520A"/>
    <w:rsid w:val="00F6190D"/>
    <w:rsid w:val="00F61988"/>
    <w:rsid w:val="00F77827"/>
    <w:rsid w:val="00F854DA"/>
    <w:rsid w:val="00FA38A9"/>
    <w:rsid w:val="00FB7617"/>
    <w:rsid w:val="00FF1924"/>
    <w:rsid w:val="3A5B57F1"/>
    <w:rsid w:val="673E3E9A"/>
    <w:rsid w:val="6C3B0209"/>
    <w:rsid w:val="70A04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312" w:lineRule="auto"/>
      <w:jc w:val="both"/>
    </w:pPr>
    <w:rPr>
      <w:rFonts w:ascii="仿宋" w:hAnsi="仿宋" w:eastAsia="仿宋" w:cstheme="minorBidi"/>
      <w:kern w:val="2"/>
      <w:sz w:val="24"/>
      <w:szCs w:val="28"/>
      <w:lang w:val="en-US" w:eastAsia="zh-CN" w:bidi="ar-SA"/>
    </w:rPr>
  </w:style>
  <w:style w:type="paragraph" w:styleId="2">
    <w:name w:val="heading 1"/>
    <w:basedOn w:val="1"/>
    <w:next w:val="1"/>
    <w:link w:val="12"/>
    <w:qFormat/>
    <w:uiPriority w:val="9"/>
    <w:pPr>
      <w:jc w:val="center"/>
      <w:outlineLvl w:val="0"/>
    </w:pPr>
    <w:rPr>
      <w:b/>
      <w:bCs/>
      <w:sz w:val="36"/>
      <w:szCs w:val="40"/>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7"/>
    <w:unhideWhenUsed/>
    <w:uiPriority w:val="99"/>
    <w:pPr>
      <w:tabs>
        <w:tab w:val="center" w:pos="4153"/>
        <w:tab w:val="right" w:pos="8306"/>
      </w:tabs>
      <w:snapToGrid w:val="0"/>
      <w:spacing w:line="240" w:lineRule="auto"/>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semiHidden/>
    <w:unhideWhenUsed/>
    <w:qFormat/>
    <w:uiPriority w:val="99"/>
    <w:pPr>
      <w:spacing w:line="240" w:lineRule="auto"/>
      <w:jc w:val="left"/>
    </w:pPr>
    <w:rPr>
      <w:rFonts w:ascii="宋体" w:hAnsi="宋体" w:eastAsia="宋体" w:cs="宋体"/>
      <w:kern w:val="0"/>
      <w:szCs w:val="24"/>
    </w:rPr>
  </w:style>
  <w:style w:type="character" w:styleId="10">
    <w:name w:val="FollowedHyperlink"/>
    <w:basedOn w:val="9"/>
    <w:semiHidden/>
    <w:unhideWhenUsed/>
    <w:qFormat/>
    <w:uiPriority w:val="99"/>
    <w:rPr>
      <w:color w:val="800080"/>
      <w:u w:val="single"/>
    </w:rPr>
  </w:style>
  <w:style w:type="character" w:styleId="11">
    <w:name w:val="Hyperlink"/>
    <w:basedOn w:val="9"/>
    <w:unhideWhenUsed/>
    <w:uiPriority w:val="99"/>
    <w:rPr>
      <w:color w:val="0563C1" w:themeColor="hyperlink"/>
      <w:u w:val="single"/>
      <w14:textFill>
        <w14:solidFill>
          <w14:schemeClr w14:val="hlink"/>
        </w14:solidFill>
      </w14:textFill>
    </w:rPr>
  </w:style>
  <w:style w:type="character" w:customStyle="1" w:styleId="12">
    <w:name w:val="标题 1 字符"/>
    <w:basedOn w:val="9"/>
    <w:link w:val="2"/>
    <w:qFormat/>
    <w:uiPriority w:val="9"/>
    <w:rPr>
      <w:rFonts w:ascii="仿宋" w:hAnsi="仿宋" w:eastAsia="仿宋"/>
      <w:b/>
      <w:bCs/>
      <w:sz w:val="36"/>
      <w:szCs w:val="40"/>
    </w:rPr>
  </w:style>
  <w:style w:type="paragraph" w:styleId="13">
    <w:name w:val="No Spacing"/>
    <w:qFormat/>
    <w:uiPriority w:val="1"/>
    <w:pPr>
      <w:spacing w:before="0" w:beforeAutospacing="0" w:after="0" w:afterAutospacing="0" w:line="240" w:lineRule="auto"/>
    </w:pPr>
    <w:rPr>
      <w:rFonts w:asciiTheme="minorHAnsi" w:hAnsiTheme="minorHAnsi" w:eastAsiaTheme="minorEastAsia" w:cstheme="minorBidi"/>
      <w:kern w:val="2"/>
      <w:sz w:val="21"/>
      <w:szCs w:val="22"/>
      <w:lang w:val="en-US" w:eastAsia="zh-CN" w:bidi="ar-SA"/>
    </w:rPr>
  </w:style>
  <w:style w:type="character" w:customStyle="1" w:styleId="14">
    <w:name w:val="标题 2 字符"/>
    <w:basedOn w:val="9"/>
    <w:link w:val="3"/>
    <w:qFormat/>
    <w:uiPriority w:val="9"/>
    <w:rPr>
      <w:rFonts w:asciiTheme="majorHAnsi" w:hAnsiTheme="majorHAnsi" w:eastAsiaTheme="majorEastAsia" w:cstheme="majorBidi"/>
      <w:b/>
      <w:bCs/>
      <w:sz w:val="32"/>
      <w:szCs w:val="32"/>
    </w:rPr>
  </w:style>
  <w:style w:type="character" w:customStyle="1" w:styleId="15">
    <w:name w:val="标题 3 字符"/>
    <w:basedOn w:val="9"/>
    <w:link w:val="4"/>
    <w:qFormat/>
    <w:uiPriority w:val="9"/>
    <w:rPr>
      <w:rFonts w:ascii="仿宋" w:hAnsi="仿宋" w:eastAsia="仿宋"/>
      <w:b/>
      <w:bCs/>
      <w:sz w:val="32"/>
      <w:szCs w:val="32"/>
    </w:rPr>
  </w:style>
  <w:style w:type="character" w:customStyle="1" w:styleId="16">
    <w:name w:val="页眉 字符"/>
    <w:basedOn w:val="9"/>
    <w:link w:val="6"/>
    <w:uiPriority w:val="99"/>
    <w:rPr>
      <w:rFonts w:ascii="仿宋" w:hAnsi="仿宋" w:eastAsia="仿宋"/>
      <w:sz w:val="18"/>
      <w:szCs w:val="18"/>
    </w:rPr>
  </w:style>
  <w:style w:type="character" w:customStyle="1" w:styleId="17">
    <w:name w:val="页脚 字符"/>
    <w:basedOn w:val="9"/>
    <w:link w:val="5"/>
    <w:qFormat/>
    <w:uiPriority w:val="99"/>
    <w:rPr>
      <w:rFonts w:ascii="仿宋" w:hAnsi="仿宋" w:eastAsia="仿宋"/>
      <w:sz w:val="18"/>
      <w:szCs w:val="18"/>
    </w:rPr>
  </w:style>
  <w:style w:type="character" w:customStyle="1" w:styleId="18">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538</Words>
  <Characters>3073</Characters>
  <Lines>25</Lines>
  <Paragraphs>7</Paragraphs>
  <TotalTime>24</TotalTime>
  <ScaleCrop>false</ScaleCrop>
  <LinksUpToDate>false</LinksUpToDate>
  <CharactersWithSpaces>3604</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2022-01-17T12:35:00Z</dcterms:created>
  <dc:creator>A2949</dc:creator>
  <cp:lastModifiedBy>默默</cp:lastModifiedBy>
  <dcterms:modified xsi:type="dcterms:W3CDTF">2022-02-13T01:24:22Z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