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beforeAutospacing="0" w:after="156" w:afterLines="50" w:afterAutospacing="0" w:line="360" w:lineRule="auto"/>
        <w:rPr>
          <w:rFonts w:hint="eastAsia" w:ascii="宋体" w:hAnsi="宋体" w:eastAsia="宋体"/>
          <w:kern w:val="0"/>
        </w:rPr>
      </w:pPr>
      <w:r>
        <w:rPr>
          <w:rFonts w:hint="eastAsia" w:ascii="宋体" w:hAnsi="宋体" w:eastAsia="宋体"/>
          <w:kern w:val="0"/>
        </w:rPr>
        <w:t>2020税务稽查典型案例评析之九</w:t>
      </w:r>
    </w:p>
    <w:p>
      <w:pPr>
        <w:spacing w:before="156" w:beforeLines="50" w:beforeAutospacing="0" w:after="156" w:afterLines="50" w:afterAutospacing="0" w:line="360" w:lineRule="auto"/>
        <w:ind w:firstLine="480" w:firstLineChars="200"/>
        <w:rPr>
          <w:rFonts w:hint="eastAsia" w:ascii="宋体" w:hAnsi="宋体" w:eastAsia="宋体"/>
          <w:kern w:val="0"/>
        </w:rPr>
      </w:pPr>
    </w:p>
    <w:p>
      <w:pPr>
        <w:pStyle w:val="2"/>
        <w:spacing w:before="156" w:beforeLines="50" w:beforeAutospacing="0" w:after="156" w:afterLines="50" w:afterAutospacing="0" w:line="360" w:lineRule="auto"/>
        <w:rPr>
          <w:rFonts w:hint="eastAsia" w:ascii="宋体" w:hAnsi="宋体" w:eastAsia="宋体"/>
          <w:sz w:val="24"/>
          <w:szCs w:val="24"/>
        </w:rPr>
      </w:pPr>
      <w:r>
        <w:rPr>
          <w:rFonts w:hint="eastAsia" w:ascii="宋体" w:hAnsi="宋体" w:eastAsia="宋体"/>
          <w:sz w:val="24"/>
          <w:szCs w:val="24"/>
        </w:rPr>
        <w:t>摘要</w:t>
      </w:r>
    </w:p>
    <w:p>
      <w:pPr>
        <w:pStyle w:val="7"/>
        <w:spacing w:before="156" w:beforeLines="50" w:beforeAutospacing="0" w:after="156" w:afterLines="50" w:afterAutospacing="0" w:line="360" w:lineRule="auto"/>
        <w:ind w:firstLine="386"/>
        <w:rPr>
          <w:rFonts w:hint="eastAsia"/>
          <w:color w:val="C55A11" w:themeColor="accent2" w:themeShade="BF"/>
        </w:rPr>
      </w:pPr>
    </w:p>
    <w:p>
      <w:pPr>
        <w:spacing w:before="156" w:beforeLines="50" w:beforeAutospacing="0" w:after="156" w:afterLines="50" w:afterAutospacing="0" w:line="360" w:lineRule="auto"/>
        <w:ind w:firstLine="480" w:firstLineChars="200"/>
        <w:rPr>
          <w:rFonts w:hint="eastAsia" w:ascii="楷体" w:hAnsi="楷体" w:eastAsia="楷体" w:cs="楷体"/>
          <w:color w:val="0070C0"/>
          <w:szCs w:val="24"/>
        </w:rPr>
      </w:pPr>
      <w:r>
        <w:rPr>
          <w:rFonts w:hint="eastAsia" w:ascii="楷体" w:hAnsi="楷体" w:eastAsia="楷体" w:cs="楷体"/>
          <w:color w:val="0070C0"/>
        </w:rPr>
        <w:t>一、</w:t>
      </w:r>
      <w:r>
        <w:rPr>
          <w:rFonts w:hint="eastAsia" w:ascii="楷体" w:hAnsi="楷体" w:eastAsia="楷体" w:cs="楷体"/>
          <w:color w:val="0070C0"/>
          <w:szCs w:val="24"/>
        </w:rPr>
        <w:t>《国家税务总局关于印发（非居民企业所得税核定征收管理办法）的通知）（</w:t>
      </w:r>
      <w:r>
        <w:rPr>
          <w:rFonts w:hint="eastAsia" w:ascii="楷体" w:hAnsi="楷体" w:eastAsia="楷体" w:cs="楷体"/>
          <w:color w:val="0070C0"/>
        </w:rPr>
        <w:fldChar w:fldCharType="begin"/>
      </w:r>
      <w:r>
        <w:rPr>
          <w:rFonts w:hint="eastAsia" w:ascii="楷体" w:hAnsi="楷体" w:eastAsia="楷体" w:cs="楷体"/>
          <w:color w:val="0070C0"/>
        </w:rPr>
        <w:instrText xml:space="preserve"> HYPERLINK "http://ssfb86.com/index/News/detail/newsid/1979.html" </w:instrText>
      </w:r>
      <w:r>
        <w:rPr>
          <w:rFonts w:hint="eastAsia" w:ascii="楷体" w:hAnsi="楷体" w:eastAsia="楷体" w:cs="楷体"/>
          <w:color w:val="0070C0"/>
        </w:rPr>
        <w:fldChar w:fldCharType="separate"/>
      </w:r>
      <w:r>
        <w:rPr>
          <w:rStyle w:val="11"/>
          <w:rFonts w:hint="eastAsia" w:ascii="楷体" w:hAnsi="楷体" w:eastAsia="楷体" w:cs="楷体"/>
          <w:color w:val="0070C0"/>
          <w:szCs w:val="24"/>
        </w:rPr>
        <w:t>国税发〔2010〕19号</w:t>
      </w:r>
      <w:r>
        <w:rPr>
          <w:rStyle w:val="11"/>
          <w:rFonts w:hint="eastAsia" w:ascii="楷体" w:hAnsi="楷体" w:eastAsia="楷体" w:cs="楷体"/>
          <w:color w:val="0070C0"/>
          <w:szCs w:val="24"/>
        </w:rPr>
        <w:fldChar w:fldCharType="end"/>
      </w:r>
      <w:r>
        <w:rPr>
          <w:rFonts w:hint="eastAsia" w:ascii="楷体" w:hAnsi="楷体" w:eastAsia="楷体" w:cs="楷体"/>
          <w:color w:val="0070C0"/>
          <w:szCs w:val="24"/>
        </w:rPr>
        <w:t>）第六</w:t>
      </w:r>
      <w:bookmarkStart w:id="3" w:name="_GoBack"/>
      <w:bookmarkEnd w:id="3"/>
      <w:r>
        <w:rPr>
          <w:rFonts w:hint="eastAsia" w:ascii="楷体" w:hAnsi="楷体" w:eastAsia="楷体" w:cs="楷体"/>
          <w:color w:val="0070C0"/>
          <w:szCs w:val="24"/>
        </w:rPr>
        <w:t>条规定：“非居民企业与中国居民企业签订机器设备或货物销售合同，同时提供设备安装、装配、技术培训、指导、监督服务等劳务，其销售货物合同中未列明提供上述劳务服务收费金额，或者计价不合理的，主管税务机关可以根据实际情况，参照相同或相近业务的计价标准核定劳务收人。无参照标准的，以不低于销售货物合同总价款的10%为原则，确定非居民企业的劳务收入。”据此，税务机关按照采购合同总价款的10%确定AIAP公司的劳务收入，并核定其服务利润率为15%。</w:t>
      </w:r>
    </w:p>
    <w:p>
      <w:pPr>
        <w:spacing w:before="156" w:beforeLines="50" w:beforeAutospacing="0" w:after="156" w:afterLines="50" w:afterAutospacing="0" w:line="360" w:lineRule="auto"/>
        <w:ind w:firstLine="480" w:firstLineChars="200"/>
        <w:rPr>
          <w:rFonts w:hint="eastAsia" w:ascii="楷体" w:hAnsi="楷体" w:eastAsia="楷体" w:cs="楷体"/>
          <w:color w:val="0070C0"/>
          <w:szCs w:val="24"/>
        </w:rPr>
      </w:pPr>
      <w:r>
        <w:rPr>
          <w:rFonts w:hint="eastAsia" w:ascii="楷体" w:hAnsi="楷体" w:eastAsia="楷体" w:cs="楷体"/>
          <w:color w:val="0070C0"/>
          <w:szCs w:val="24"/>
          <w:lang w:eastAsia="zh-CN"/>
        </w:rPr>
        <w:t>二、</w:t>
      </w:r>
      <w:r>
        <w:rPr>
          <w:rFonts w:hint="eastAsia" w:ascii="楷体" w:hAnsi="楷体" w:eastAsia="楷体" w:cs="楷体"/>
          <w:color w:val="0070C0"/>
          <w:szCs w:val="24"/>
        </w:rPr>
        <w:t>AIAP公司提供的安装劳务发生在境内D市，符合在我国境内有“从事建筑、安装、装配、修理、勘探等工程作业的场所”规定，AIAP公司应就该场所来源于中国境内的所得按照《</w:t>
      </w:r>
      <w:r>
        <w:rPr>
          <w:rFonts w:hint="eastAsia" w:ascii="楷体" w:hAnsi="楷体" w:eastAsia="楷体" w:cs="楷体"/>
          <w:color w:val="0070C0"/>
        </w:rPr>
        <w:fldChar w:fldCharType="begin"/>
      </w:r>
      <w:r>
        <w:rPr>
          <w:rFonts w:hint="eastAsia" w:ascii="楷体" w:hAnsi="楷体" w:eastAsia="楷体" w:cs="楷体"/>
          <w:color w:val="0070C0"/>
        </w:rPr>
        <w:instrText xml:space="preserve"> HYPERLINK "http://ssfb86.com/index/News/detail/newsid/575.html" </w:instrText>
      </w:r>
      <w:r>
        <w:rPr>
          <w:rFonts w:hint="eastAsia" w:ascii="楷体" w:hAnsi="楷体" w:eastAsia="楷体" w:cs="楷体"/>
          <w:color w:val="0070C0"/>
        </w:rPr>
        <w:fldChar w:fldCharType="separate"/>
      </w:r>
      <w:r>
        <w:rPr>
          <w:rStyle w:val="11"/>
          <w:rFonts w:hint="eastAsia" w:ascii="楷体" w:hAnsi="楷体" w:eastAsia="楷体" w:cs="楷体"/>
          <w:color w:val="0070C0"/>
          <w:szCs w:val="24"/>
        </w:rPr>
        <w:t>中华人民共和国企业所得税法</w:t>
      </w:r>
      <w:r>
        <w:rPr>
          <w:rStyle w:val="11"/>
          <w:rFonts w:hint="eastAsia" w:ascii="楷体" w:hAnsi="楷体" w:eastAsia="楷体" w:cs="楷体"/>
          <w:color w:val="0070C0"/>
          <w:szCs w:val="24"/>
        </w:rPr>
        <w:fldChar w:fldCharType="end"/>
      </w:r>
      <w:r>
        <w:rPr>
          <w:rFonts w:hint="eastAsia" w:ascii="楷体" w:hAnsi="楷体" w:eastAsia="楷体" w:cs="楷体"/>
          <w:color w:val="0070C0"/>
          <w:szCs w:val="24"/>
        </w:rPr>
        <w:t>》第三系第二款的规定缴纳企业所得税，适用25%的税率，而不能按照《</w:t>
      </w:r>
      <w:r>
        <w:rPr>
          <w:rFonts w:hint="eastAsia" w:ascii="楷体" w:hAnsi="楷体" w:eastAsia="楷体" w:cs="楷体"/>
          <w:color w:val="0070C0"/>
        </w:rPr>
        <w:fldChar w:fldCharType="begin"/>
      </w:r>
      <w:r>
        <w:rPr>
          <w:rFonts w:hint="eastAsia" w:ascii="楷体" w:hAnsi="楷体" w:eastAsia="楷体" w:cs="楷体"/>
          <w:color w:val="0070C0"/>
        </w:rPr>
        <w:instrText xml:space="preserve"> HYPERLINK "http://ssfb86.com/index/News/detail/newsid/575.html" </w:instrText>
      </w:r>
      <w:r>
        <w:rPr>
          <w:rFonts w:hint="eastAsia" w:ascii="楷体" w:hAnsi="楷体" w:eastAsia="楷体" w:cs="楷体"/>
          <w:color w:val="0070C0"/>
        </w:rPr>
        <w:fldChar w:fldCharType="separate"/>
      </w:r>
      <w:r>
        <w:rPr>
          <w:rStyle w:val="11"/>
          <w:rFonts w:hint="eastAsia" w:ascii="楷体" w:hAnsi="楷体" w:eastAsia="楷体" w:cs="楷体"/>
          <w:color w:val="0070C0"/>
          <w:szCs w:val="24"/>
        </w:rPr>
        <w:t>中华人民共和国企业所得税法</w:t>
      </w:r>
      <w:r>
        <w:rPr>
          <w:rStyle w:val="11"/>
          <w:rFonts w:hint="eastAsia" w:ascii="楷体" w:hAnsi="楷体" w:eastAsia="楷体" w:cs="楷体"/>
          <w:color w:val="0070C0"/>
          <w:szCs w:val="24"/>
        </w:rPr>
        <w:fldChar w:fldCharType="end"/>
      </w:r>
      <w:r>
        <w:rPr>
          <w:rFonts w:hint="eastAsia" w:ascii="楷体" w:hAnsi="楷体" w:eastAsia="楷体" w:cs="楷体"/>
          <w:color w:val="0070C0"/>
          <w:szCs w:val="24"/>
        </w:rPr>
        <w:t>》第三条第三款及第四条规定适用20%的税率。</w:t>
      </w:r>
    </w:p>
    <w:p>
      <w:pPr>
        <w:spacing w:before="156" w:beforeLines="50" w:beforeAutospacing="0" w:after="156" w:afterLines="50" w:afterAutospacing="0" w:line="360" w:lineRule="auto"/>
        <w:ind w:firstLine="480" w:firstLineChars="200"/>
        <w:rPr>
          <w:rFonts w:hint="eastAsia" w:ascii="楷体" w:hAnsi="楷体" w:eastAsia="楷体"/>
          <w:color w:val="0070C0"/>
        </w:rPr>
      </w:pPr>
    </w:p>
    <w:p>
      <w:pPr>
        <w:pStyle w:val="2"/>
        <w:spacing w:before="156" w:beforeLines="50" w:beforeAutospacing="0" w:after="156" w:afterLines="50" w:afterAutospacing="0" w:line="360" w:lineRule="auto"/>
        <w:rPr>
          <w:rFonts w:hint="eastAsia" w:ascii="宋体" w:hAnsi="宋体" w:eastAsia="宋体"/>
          <w:sz w:val="24"/>
          <w:szCs w:val="24"/>
        </w:rPr>
      </w:pPr>
      <w:r>
        <w:rPr>
          <w:rFonts w:hint="eastAsia" w:ascii="宋体" w:hAnsi="宋体" w:eastAsia="宋体"/>
          <w:sz w:val="24"/>
          <w:szCs w:val="24"/>
        </w:rPr>
        <w:t>思考</w:t>
      </w:r>
    </w:p>
    <w:p>
      <w:pPr>
        <w:pStyle w:val="7"/>
        <w:spacing w:before="156" w:beforeLines="50" w:beforeAutospacing="0" w:after="156" w:afterLines="50" w:afterAutospacing="0" w:line="360" w:lineRule="auto"/>
        <w:ind w:firstLine="386"/>
        <w:rPr>
          <w:rFonts w:hint="eastAsia" w:ascii="楷体" w:hAnsi="楷体" w:eastAsia="楷体" w:cs="楷体"/>
          <w:color w:val="0070C0"/>
        </w:rPr>
      </w:pPr>
    </w:p>
    <w:p>
      <w:pPr>
        <w:spacing w:before="156" w:beforeLines="50" w:beforeAutospacing="0" w:after="156" w:afterLines="50" w:afterAutospacing="0" w:line="360" w:lineRule="auto"/>
        <w:ind w:firstLine="480" w:firstLineChars="200"/>
        <w:rPr>
          <w:rFonts w:hint="eastAsia" w:ascii="楷体" w:hAnsi="楷体" w:eastAsia="楷体" w:cs="楷体"/>
          <w:color w:val="0070C0"/>
          <w:szCs w:val="24"/>
        </w:rPr>
      </w:pPr>
      <w:r>
        <w:rPr>
          <w:rFonts w:hint="eastAsia" w:ascii="楷体" w:hAnsi="楷体" w:eastAsia="楷体" w:cs="楷体"/>
          <w:color w:val="0070C0"/>
          <w:szCs w:val="24"/>
        </w:rPr>
        <w:t>一、</w:t>
      </w:r>
      <w:r>
        <w:rPr>
          <w:rFonts w:hint="eastAsia" w:ascii="楷体" w:hAnsi="楷体" w:eastAsia="楷体" w:cs="楷体"/>
          <w:color w:val="0070C0"/>
          <w:szCs w:val="24"/>
          <w:lang w:eastAsia="zh-CN"/>
        </w:rPr>
        <w:t>本案，是否涉及避税，是否应按</w:t>
      </w:r>
      <w:r>
        <w:rPr>
          <w:rFonts w:hint="eastAsia" w:ascii="楷体" w:hAnsi="楷体" w:eastAsia="楷体" w:cs="楷体"/>
          <w:i w:val="0"/>
          <w:caps w:val="0"/>
          <w:color w:val="0070C0"/>
          <w:spacing w:val="0"/>
          <w:sz w:val="24"/>
          <w:szCs w:val="24"/>
          <w:bdr w:val="none" w:color="auto" w:sz="0" w:space="0"/>
          <w:shd w:val="clear" w:fill="FFFFFF"/>
        </w:rPr>
        <w:t>《</w:t>
      </w:r>
      <w:r>
        <w:rPr>
          <w:rFonts w:hint="eastAsia" w:ascii="楷体" w:hAnsi="楷体" w:eastAsia="楷体" w:cs="楷体"/>
          <w:i w:val="0"/>
          <w:caps w:val="0"/>
          <w:color w:val="0070C0"/>
          <w:spacing w:val="0"/>
          <w:sz w:val="24"/>
          <w:szCs w:val="24"/>
          <w:u w:val="single"/>
          <w:bdr w:val="none" w:color="auto" w:sz="0" w:space="0"/>
          <w:shd w:val="clear" w:fill="FFFFFF"/>
        </w:rPr>
        <w:fldChar w:fldCharType="begin"/>
      </w:r>
      <w:r>
        <w:rPr>
          <w:rFonts w:hint="eastAsia" w:ascii="楷体" w:hAnsi="楷体" w:eastAsia="楷体" w:cs="楷体"/>
          <w:i w:val="0"/>
          <w:caps w:val="0"/>
          <w:color w:val="0070C0"/>
          <w:spacing w:val="0"/>
          <w:sz w:val="24"/>
          <w:szCs w:val="24"/>
          <w:u w:val="single"/>
          <w:bdr w:val="none" w:color="auto" w:sz="0" w:space="0"/>
          <w:shd w:val="clear" w:fill="FFFFFF"/>
        </w:rPr>
        <w:instrText xml:space="preserve"> HYPERLINK "http://ssfb86.com/index/News/detail/newsid/575.html" </w:instrText>
      </w:r>
      <w:r>
        <w:rPr>
          <w:rFonts w:hint="eastAsia" w:ascii="楷体" w:hAnsi="楷体" w:eastAsia="楷体" w:cs="楷体"/>
          <w:i w:val="0"/>
          <w:caps w:val="0"/>
          <w:color w:val="0070C0"/>
          <w:spacing w:val="0"/>
          <w:sz w:val="24"/>
          <w:szCs w:val="24"/>
          <w:u w:val="single"/>
          <w:bdr w:val="none" w:color="auto" w:sz="0" w:space="0"/>
          <w:shd w:val="clear" w:fill="FFFFFF"/>
        </w:rPr>
        <w:fldChar w:fldCharType="separate"/>
      </w:r>
      <w:r>
        <w:rPr>
          <w:rStyle w:val="11"/>
          <w:rFonts w:hint="eastAsia" w:ascii="楷体" w:hAnsi="楷体" w:eastAsia="楷体" w:cs="楷体"/>
          <w:i w:val="0"/>
          <w:caps w:val="0"/>
          <w:color w:val="0070C0"/>
          <w:spacing w:val="0"/>
          <w:sz w:val="24"/>
          <w:szCs w:val="24"/>
          <w:u w:val="single"/>
          <w:bdr w:val="none" w:color="auto" w:sz="0" w:space="0"/>
          <w:shd w:val="clear" w:fill="FFFFFF"/>
        </w:rPr>
        <w:t>企业所得税法</w:t>
      </w:r>
      <w:r>
        <w:rPr>
          <w:rFonts w:hint="eastAsia" w:ascii="楷体" w:hAnsi="楷体" w:eastAsia="楷体" w:cs="楷体"/>
          <w:i w:val="0"/>
          <w:caps w:val="0"/>
          <w:color w:val="0070C0"/>
          <w:spacing w:val="0"/>
          <w:sz w:val="24"/>
          <w:szCs w:val="24"/>
          <w:u w:val="single"/>
          <w:bdr w:val="none" w:color="auto" w:sz="0" w:space="0"/>
          <w:shd w:val="clear" w:fill="FFFFFF"/>
        </w:rPr>
        <w:fldChar w:fldCharType="end"/>
      </w:r>
      <w:r>
        <w:rPr>
          <w:rFonts w:hint="eastAsia" w:ascii="楷体" w:hAnsi="楷体" w:eastAsia="楷体" w:cs="楷体"/>
          <w:i w:val="0"/>
          <w:caps w:val="0"/>
          <w:color w:val="0070C0"/>
          <w:spacing w:val="0"/>
          <w:sz w:val="24"/>
          <w:szCs w:val="24"/>
          <w:bdr w:val="none" w:color="auto" w:sz="0" w:space="0"/>
          <w:shd w:val="clear" w:fill="FFFFFF"/>
        </w:rPr>
        <w:t>》第四十八条</w:t>
      </w:r>
      <w:r>
        <w:rPr>
          <w:rFonts w:hint="eastAsia" w:ascii="楷体" w:hAnsi="楷体" w:eastAsia="楷体" w:cs="楷体"/>
          <w:i w:val="0"/>
          <w:caps w:val="0"/>
          <w:color w:val="0070C0"/>
          <w:spacing w:val="0"/>
          <w:sz w:val="24"/>
          <w:szCs w:val="24"/>
          <w:bdr w:val="none" w:color="auto" w:sz="0" w:space="0"/>
          <w:shd w:val="clear" w:fill="FFFFFF"/>
          <w:lang w:eastAsia="zh-CN"/>
        </w:rPr>
        <w:t>规定，回收利息</w:t>
      </w:r>
      <w:r>
        <w:rPr>
          <w:rFonts w:hint="eastAsia" w:ascii="楷体" w:hAnsi="楷体" w:eastAsia="楷体" w:cs="楷体"/>
          <w:color w:val="0070C0"/>
          <w:szCs w:val="24"/>
        </w:rPr>
        <w:t>？</w:t>
      </w:r>
    </w:p>
    <w:p>
      <w:pPr>
        <w:spacing w:before="156" w:beforeLines="50" w:beforeAutospacing="0" w:after="156" w:afterLines="50" w:afterAutospacing="0" w:line="360" w:lineRule="auto"/>
        <w:ind w:firstLine="480" w:firstLineChars="200"/>
        <w:rPr>
          <w:rFonts w:hint="eastAsia" w:ascii="宋体" w:hAnsi="宋体" w:eastAsia="宋体"/>
          <w:kern w:val="0"/>
        </w:rPr>
      </w:pPr>
    </w:p>
    <w:p>
      <w:pPr>
        <w:spacing w:before="156" w:beforeLines="50" w:beforeAutospacing="0" w:after="156" w:afterLines="50" w:afterAutospacing="0" w:line="360" w:lineRule="auto"/>
        <w:ind w:firstLine="480" w:firstLineChars="200"/>
        <w:rPr>
          <w:rFonts w:hint="eastAsia" w:ascii="宋体" w:hAnsi="宋体" w:eastAsia="宋体"/>
          <w:kern w:val="0"/>
        </w:rPr>
      </w:pPr>
    </w:p>
    <w:p>
      <w:pPr>
        <w:spacing w:before="156" w:beforeLines="50" w:beforeAutospacing="0" w:after="156" w:afterLines="50" w:afterAutospacing="0" w:line="360" w:lineRule="auto"/>
        <w:ind w:firstLine="883" w:firstLineChars="200"/>
        <w:jc w:val="center"/>
        <w:rPr>
          <w:rFonts w:ascii="宋体" w:hAnsi="宋体" w:eastAsia="宋体"/>
          <w:b/>
          <w:bCs/>
          <w:color w:val="C55A11" w:themeColor="accent2" w:themeShade="BF"/>
          <w:sz w:val="44"/>
          <w:szCs w:val="44"/>
        </w:rPr>
      </w:pPr>
      <w:r>
        <w:rPr>
          <w:rFonts w:hint="eastAsia" w:ascii="宋体" w:hAnsi="宋体" w:eastAsia="宋体"/>
          <w:b/>
          <w:bCs/>
          <w:color w:val="C55A11" w:themeColor="accent2" w:themeShade="BF"/>
          <w:sz w:val="44"/>
          <w:szCs w:val="44"/>
        </w:rPr>
        <w:t>大连</w:t>
      </w:r>
      <w:r>
        <w:rPr>
          <w:rFonts w:ascii="宋体" w:hAnsi="宋体" w:eastAsia="宋体"/>
          <w:b/>
          <w:bCs/>
          <w:color w:val="C55A11" w:themeColor="accent2" w:themeShade="BF"/>
          <w:sz w:val="44"/>
          <w:szCs w:val="44"/>
        </w:rPr>
        <w:t>C有限公司市代扣代缴税款案</w:t>
      </w:r>
    </w:p>
    <w:p>
      <w:pPr>
        <w:spacing w:before="156" w:beforeLines="50" w:beforeAutospacing="0" w:after="156" w:afterLines="50" w:afterAutospacing="0" w:line="360" w:lineRule="auto"/>
        <w:ind w:firstLine="480" w:firstLineChars="200"/>
        <w:rPr>
          <w:rFonts w:ascii="宋体" w:hAnsi="宋体" w:eastAsia="宋体"/>
          <w:szCs w:val="24"/>
        </w:rPr>
      </w:pPr>
    </w:p>
    <w:p>
      <w:pPr>
        <w:spacing w:before="156" w:beforeLines="50" w:beforeAutospacing="0" w:after="156" w:afterLines="50" w:afterAutospacing="0" w:line="360" w:lineRule="auto"/>
        <w:ind w:firstLine="480" w:firstLineChars="200"/>
        <w:jc w:val="center"/>
        <w:rPr>
          <w:rFonts w:ascii="宋体" w:hAnsi="宋体" w:eastAsia="宋体"/>
          <w:szCs w:val="24"/>
        </w:rPr>
      </w:pPr>
      <w:r>
        <w:rPr>
          <w:rFonts w:hint="eastAsia" w:ascii="宋体" w:hAnsi="宋体" w:eastAsia="宋体"/>
          <w:szCs w:val="24"/>
        </w:rPr>
        <w:t>——</w:t>
      </w:r>
      <w:r>
        <w:fldChar w:fldCharType="begin"/>
      </w:r>
      <w:r>
        <w:instrText xml:space="preserve"> HYPERLINK "http://ssfb86.com/index/News/detail/newsid/10099.html" </w:instrText>
      </w:r>
      <w:r>
        <w:fldChar w:fldCharType="separate"/>
      </w:r>
      <w:r>
        <w:rPr>
          <w:rStyle w:val="10"/>
          <w:rFonts w:hint="eastAsia" w:ascii="宋体" w:hAnsi="宋体" w:eastAsia="宋体"/>
          <w:szCs w:val="24"/>
        </w:rPr>
        <w:t>对跨境支付劳务收入确认征税</w:t>
      </w:r>
      <w:r>
        <w:rPr>
          <w:rStyle w:val="11"/>
          <w:rFonts w:hint="eastAsia" w:ascii="宋体" w:hAnsi="宋体" w:eastAsia="宋体"/>
          <w:szCs w:val="24"/>
        </w:rPr>
        <w:fldChar w:fldCharType="end"/>
      </w:r>
    </w:p>
    <w:p>
      <w:pPr>
        <w:spacing w:before="156" w:beforeLines="50" w:beforeAutospacing="0" w:after="156" w:afterLines="50" w:afterAutospacing="0" w:line="360" w:lineRule="auto"/>
        <w:ind w:firstLine="480" w:firstLineChars="200"/>
        <w:rPr>
          <w:rFonts w:ascii="宋体" w:hAnsi="宋体" w:eastAsia="宋体"/>
          <w:szCs w:val="24"/>
        </w:rPr>
      </w:pPr>
    </w:p>
    <w:p>
      <w:pPr>
        <w:spacing w:before="156" w:beforeLines="50" w:beforeAutospacing="0" w:after="156" w:afterLines="50" w:afterAutospacing="0" w:line="360" w:lineRule="auto"/>
        <w:ind w:firstLine="960" w:firstLineChars="400"/>
        <w:rPr>
          <w:rFonts w:ascii="宋体" w:hAnsi="宋体" w:eastAsia="宋体"/>
          <w:szCs w:val="24"/>
        </w:rPr>
      </w:pPr>
      <w:r>
        <w:rPr>
          <w:rFonts w:hint="eastAsia" w:ascii="宋体" w:hAnsi="宋体" w:eastAsia="宋体"/>
          <w:szCs w:val="24"/>
        </w:rPr>
        <w:t xml:space="preserve">〔关键词〕非居民企业 </w:t>
      </w:r>
      <w:r>
        <w:rPr>
          <w:rFonts w:ascii="宋体" w:hAnsi="宋体" w:eastAsia="宋体"/>
          <w:szCs w:val="24"/>
        </w:rPr>
        <w:t>代扣代缴主体</w:t>
      </w:r>
      <w:r>
        <w:rPr>
          <w:rFonts w:hint="eastAsia" w:ascii="宋体" w:hAnsi="宋体" w:eastAsia="宋体"/>
          <w:szCs w:val="24"/>
        </w:rPr>
        <w:t xml:space="preserve"> </w:t>
      </w:r>
      <w:r>
        <w:rPr>
          <w:rFonts w:ascii="宋体" w:hAnsi="宋体" w:eastAsia="宋体"/>
          <w:szCs w:val="24"/>
        </w:rPr>
        <w:t>劳务收入</w:t>
      </w:r>
    </w:p>
    <w:p>
      <w:pPr>
        <w:spacing w:before="156" w:beforeLines="50" w:beforeAutospacing="0" w:after="156" w:afterLines="50" w:afterAutospacing="0" w:line="360" w:lineRule="auto"/>
        <w:ind w:firstLine="480" w:firstLineChars="200"/>
        <w:rPr>
          <w:rFonts w:ascii="宋体" w:hAnsi="宋体" w:eastAsia="宋体"/>
          <w:szCs w:val="24"/>
        </w:rPr>
      </w:pPr>
    </w:p>
    <w:p>
      <w:pPr>
        <w:pStyle w:val="2"/>
        <w:spacing w:before="50" w:beforeAutospacing="0" w:after="50" w:afterAutospacing="0" w:line="360" w:lineRule="auto"/>
        <w:ind w:firstLine="482" w:firstLineChars="200"/>
        <w:rPr>
          <w:rFonts w:ascii="宋体" w:hAnsi="宋体" w:eastAsia="宋体"/>
          <w:sz w:val="24"/>
          <w:szCs w:val="24"/>
        </w:rPr>
      </w:pPr>
      <w:r>
        <w:rPr>
          <w:rFonts w:ascii="宋体" w:hAnsi="宋体" w:eastAsia="宋体"/>
          <w:sz w:val="24"/>
          <w:szCs w:val="24"/>
        </w:rPr>
        <w:t>基本案情</w:t>
      </w:r>
    </w:p>
    <w:p>
      <w:pPr>
        <w:spacing w:before="50" w:beforeAutospacing="0" w:after="50" w:afterAutospacing="0" w:line="360" w:lineRule="auto"/>
        <w:ind w:firstLine="480" w:firstLineChars="200"/>
      </w:pP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一、检查过程</w:t>
      </w:r>
    </w:p>
    <w:p>
      <w:pPr>
        <w:pStyle w:val="4"/>
        <w:spacing w:before="50" w:beforeAutospacing="0" w:after="50" w:afterAutospacing="0" w:line="360" w:lineRule="auto"/>
        <w:ind w:firstLine="482" w:firstLineChars="200"/>
        <w:rPr>
          <w:rFonts w:ascii="宋体" w:hAnsi="宋体" w:eastAsia="宋体"/>
          <w:sz w:val="24"/>
          <w:szCs w:val="24"/>
        </w:rPr>
      </w:pPr>
      <w:r>
        <w:rPr>
          <w:rFonts w:ascii="宋体" w:hAnsi="宋体" w:eastAsia="宋体"/>
          <w:sz w:val="24"/>
          <w:szCs w:val="24"/>
        </w:rPr>
        <w:t>（一）案由疑</w:t>
      </w:r>
      <w:r>
        <w:rPr>
          <w:rFonts w:hint="eastAsia" w:ascii="宋体" w:hAnsi="宋体" w:eastAsia="宋体"/>
          <w:sz w:val="24"/>
          <w:szCs w:val="24"/>
        </w:rPr>
        <w:t>点</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大连</w:t>
      </w:r>
      <w:r>
        <w:rPr>
          <w:rFonts w:ascii="宋体" w:hAnsi="宋体" w:eastAsia="宋体"/>
          <w:szCs w:val="24"/>
        </w:rPr>
        <w:t>C有限公司（以下简称C公司）是一家从事海上石油钻井平台制造和出口的中外合资企业。税务机关对C公司进行税务检查，发现企业会计核算规范，除了企业利润率低、税负低等情况外，没什么突出问题。但是海上石油钻井平台结构复杂、生产周期长、建造技术难度大，C公司相当比例的核心技术和设备依赖进口，而技术与服务进口是非居民企业税收风险管理的敏感领域。C公司是否也存在这种涉税风险呢？检查人员决定进一步调查。</w:t>
      </w:r>
    </w:p>
    <w:p>
      <w:pPr>
        <w:pStyle w:val="4"/>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（二）破绽初显</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检查人员了解到，海上石油钻井平台集成了钻井、升降、动力、通讯、导航等大量设备和系统，以</w:t>
      </w:r>
      <w:r>
        <w:rPr>
          <w:rFonts w:ascii="宋体" w:hAnsi="宋体" w:eastAsia="宋体"/>
          <w:szCs w:val="24"/>
        </w:rPr>
        <w:t>C公司的钻井船为例，其中钻井设备、升降系统和电机系统约占平台成本的65％。C公司生产的海上石油钻井平台，其钻井设备和升降系统均从欧洲的AIAP公司和AIOS公司进口。海上石油钻井平台设计复杂，钻井设备作为其主要的大型组件，制造和安装均面临工程技术方面的众多难题，C公司进口钻井设备和系统后安装、调试、维修等问题怎么解决？检查人员脑子里画了个大大的问号。</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检查人员查阅</w:t>
      </w:r>
      <w:r>
        <w:rPr>
          <w:rFonts w:ascii="宋体" w:hAnsi="宋体" w:eastAsia="宋体"/>
          <w:szCs w:val="24"/>
        </w:rPr>
        <w:t>AIAP官网资料了解到，AIAP公司是有着百年历史的国际油气勘探设备龙头企业，在全球有近百家工厂和服务中心，AIAP公司的钻井设备销售后，还需要提供专门的远程辅导、现场安装调试、技术培训等一系列服务。C公司从AIAP公司进口钻井设备及升降系统，会不会也涉及这些售后服务内容？会不会涉及到预提所得税问题呢？</w:t>
      </w:r>
    </w:p>
    <w:p>
      <w:pPr>
        <w:pStyle w:val="4"/>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（三）见招拆招</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带着这些疑问，检查人员把关注重点锁定在了占成本构成</w:t>
      </w:r>
      <w:r>
        <w:rPr>
          <w:rFonts w:ascii="宋体" w:hAnsi="宋体" w:eastAsia="宋体"/>
          <w:szCs w:val="24"/>
        </w:rPr>
        <w:t>60％的钻井设备和升降系统上。经检查，从2010年起C公司陆续同AIAP公司和AIOS公司签订了15个钻井设备采购合同，每个合同的金额都在4000万美元以上，并按合同金额分批向商家支付货款。</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color w:val="C55A11" w:themeColor="accent2" w:themeShade="BF"/>
          <w:szCs w:val="24"/>
        </w:rPr>
        <w:t>检查人员从采购合同入手对钻井设备进口后的售后支持问题进行检查分析。企业项目负责人仅提供了主合同文本复印件，并以涉及商业秘密为由拒绝提供设备采购合同附则等资料。检查人员对主合同条款逐条进行梳理，发现合同中很多地方都提到了“服务条款”，其中包括由</w:t>
      </w:r>
      <w:r>
        <w:rPr>
          <w:rFonts w:ascii="宋体" w:hAnsi="宋体" w:eastAsia="宋体"/>
          <w:color w:val="C55A11" w:themeColor="accent2" w:themeShade="BF"/>
          <w:szCs w:val="24"/>
        </w:rPr>
        <w:t>AIAP公司派遣工程人员到C公司进行设备安装调试等内容</w:t>
      </w:r>
      <w:r>
        <w:rPr>
          <w:rFonts w:ascii="宋体" w:hAnsi="宋体" w:eastAsia="宋体"/>
          <w:szCs w:val="24"/>
        </w:rPr>
        <w:t>。这与检查人员在AIAP官网检索到的钻井设备售后服务内容相吻合。</w:t>
      </w:r>
      <w:r>
        <w:rPr>
          <w:rFonts w:ascii="宋体" w:hAnsi="宋体" w:eastAsia="宋体"/>
          <w:color w:val="C55A11" w:themeColor="accent2" w:themeShade="BF"/>
          <w:szCs w:val="24"/>
        </w:rPr>
        <w:t>虽然企业提供的主合同里并没有对“服务条款”单独进行定价，但可以确定的是，在这个贸易采购合同项下隐藏着非贸易服务</w:t>
      </w:r>
      <w:r>
        <w:rPr>
          <w:rFonts w:ascii="宋体" w:hAnsi="宋体" w:eastAsia="宋体"/>
          <w:szCs w:val="24"/>
        </w:rPr>
        <w:t>。检查人员初步判断，C公司没有按照规定对境</w:t>
      </w:r>
      <w:r>
        <w:rPr>
          <w:rFonts w:hint="eastAsia" w:ascii="宋体" w:hAnsi="宋体" w:eastAsia="宋体"/>
          <w:szCs w:val="24"/>
        </w:rPr>
        <w:t>外服务内容进行单独核算，也没有代扣代缴与该业务相关的非居民企业所得税。</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C公司承认未对合同中“服务条款”履行税务备案手续，但强调设备采购合同中实际上并没有AIAP公司必须来国内提供服务的约定条款，同时认为，即使涉及税务问题，税款也应由外国非居民企业承担，C公司仅负有代扣代缴义务。可见，C公司还没有认识到未按规定进行税务备案和代扣代缴的法律责任。</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检查人员与</w:t>
      </w:r>
      <w:r>
        <w:rPr>
          <w:rFonts w:ascii="宋体" w:hAnsi="宋体" w:eastAsia="宋体"/>
          <w:szCs w:val="24"/>
        </w:rPr>
        <w:t>C公司反复沟通，明确指出把服务条款从采购合同中剥离不符合国际通行的运营规则，并且钻井设备制造安装的技术壁垒很高，按照国内目前的技术水平，C公司自身无法完成钻井设备的设计、制造和安装。同时告知C公司相关负责人，C公司钻井设备采购不仅涉及对非居民企业税收的代扣代缴问题，更重要的是涉及国家税收主权问题，维护国家税收主权是每个居民法人的责任。</w:t>
      </w:r>
    </w:p>
    <w:p>
      <w:pPr>
        <w:pStyle w:val="4"/>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（四）水落石出</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经过艰难而细致的沟通，</w:t>
      </w:r>
      <w:r>
        <w:rPr>
          <w:rFonts w:ascii="宋体" w:hAnsi="宋体" w:eastAsia="宋体"/>
          <w:szCs w:val="24"/>
        </w:rPr>
        <w:t>C公司最终理解了相关税收规定，提供了完整的钻井设备采购合同，也承认确实附有服务条款的事实，并解释称之前C公司认为没有服务内容的原因，是AIAP公司在上海设有分公司，与进口设备有关的安装、调试等售后服务均由AIAP上海分公司负责，C公司认为，这与海外的AIAP公司给中方提供售后服务不是一回事。C公司从国外采购钻井设备及售后服务问题至此真相大白。检查人员继续扩大战果，经过全面调查取证和双方长时间沟通谈判，案值2000余万元的案件终于尘埃落定。</w:t>
      </w: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二、案件事实</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经查明，本案的主要事实如下：</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color w:val="C55A11" w:themeColor="accent2" w:themeShade="BF"/>
          <w:szCs w:val="24"/>
        </w:rPr>
        <w:t>C公司从欧洲的AIAP公司和AIOS公司采购海上石油钻井设备和升降系统，但未按规定对采购合同项下的货物购销和技术服务分别核算，未进行非贸易对外支付税务备案，且未代扣代缴非居民企业AIAP公司在我国提供服务的企业所得税</w:t>
      </w:r>
      <w:r>
        <w:rPr>
          <w:rFonts w:ascii="宋体" w:hAnsi="宋体" w:eastAsia="宋体"/>
          <w:szCs w:val="24"/>
        </w:rPr>
        <w:t>。</w:t>
      </w: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三、处理结果</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经审理，税务机关作出如下决定：</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color w:val="C55A11" w:themeColor="accent2" w:themeShade="BF"/>
          <w:szCs w:val="24"/>
        </w:rPr>
        <w:t>按采购合同总价款的</w:t>
      </w:r>
      <w:r>
        <w:rPr>
          <w:rFonts w:ascii="宋体" w:hAnsi="宋体" w:eastAsia="宋体"/>
          <w:color w:val="C55A11" w:themeColor="accent2" w:themeShade="BF"/>
          <w:szCs w:val="24"/>
        </w:rPr>
        <w:t>10％确定非居民企业AIAP公司在境内D市服务项目的劳务收入，核定其服务利润率为15％，追缴AIAP公司在境内D市服务项目的企业所得税1983万元，并从税款滞纳之日起按日加收滞纳税款万分之五的滞纳金</w:t>
      </w:r>
      <w:r>
        <w:rPr>
          <w:rFonts w:ascii="宋体" w:hAnsi="宋体" w:eastAsia="宋体"/>
          <w:szCs w:val="24"/>
        </w:rPr>
        <w:t>。</w:t>
      </w:r>
    </w:p>
    <w:p>
      <w:pPr>
        <w:spacing w:before="156" w:beforeLines="50" w:beforeAutospacing="0" w:after="156" w:afterLines="50" w:afterAutospacing="0" w:line="360" w:lineRule="auto"/>
        <w:ind w:firstLine="480" w:firstLineChars="200"/>
        <w:rPr>
          <w:rFonts w:ascii="宋体" w:hAnsi="宋体" w:eastAsia="宋体"/>
          <w:szCs w:val="24"/>
        </w:rPr>
      </w:pPr>
    </w:p>
    <w:p>
      <w:pPr>
        <w:pStyle w:val="2"/>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争议焦点</w:t>
      </w:r>
    </w:p>
    <w:p>
      <w:pPr>
        <w:spacing w:before="156" w:beforeLines="50" w:beforeAutospacing="0" w:after="156" w:afterLines="50" w:afterAutospacing="0" w:line="360" w:lineRule="auto"/>
        <w:ind w:firstLine="480" w:firstLineChars="200"/>
        <w:rPr>
          <w:rFonts w:ascii="宋体" w:hAnsi="宋体" w:eastAsia="宋体"/>
          <w:szCs w:val="24"/>
        </w:rPr>
      </w:pP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本案中，双方争议的焦点在于对</w:t>
      </w:r>
      <w:r>
        <w:rPr>
          <w:rFonts w:ascii="宋体" w:hAnsi="宋体" w:eastAsia="宋体"/>
          <w:szCs w:val="24"/>
        </w:rPr>
        <w:t>AIAP公司在境内D市服务项目的企业所得税代扣代缴问题。</w:t>
      </w:r>
    </w:p>
    <w:p>
      <w:pPr>
        <w:spacing w:before="156" w:beforeLines="50" w:beforeAutospacing="0" w:after="156" w:afterLines="50" w:afterAutospacing="0" w:line="360" w:lineRule="auto"/>
        <w:ind w:firstLine="480" w:firstLineChars="200"/>
        <w:rPr>
          <w:rFonts w:ascii="宋体" w:hAnsi="宋体" w:eastAsia="宋体"/>
          <w:szCs w:val="24"/>
        </w:rPr>
      </w:pPr>
      <w:r>
        <w:rPr>
          <w:rFonts w:ascii="宋体" w:hAnsi="宋体" w:eastAsia="宋体"/>
          <w:szCs w:val="24"/>
        </w:rPr>
        <w:t>C公司认为，AIAP公司在上海设有分公司，其上海分公司向C公司派驻工</w:t>
      </w:r>
      <w:r>
        <w:rPr>
          <w:rFonts w:hint="eastAsia" w:ascii="宋体" w:hAnsi="宋体" w:eastAsia="宋体"/>
          <w:szCs w:val="24"/>
        </w:rPr>
        <w:t>程师负责设备安装调试工作</w:t>
      </w:r>
      <w:r>
        <w:rPr>
          <w:rFonts w:ascii="宋体" w:hAnsi="宋体" w:eastAsia="宋体"/>
          <w:szCs w:val="24"/>
        </w:rPr>
        <w:t>IAP公司与其上海分公司结算服务费收人，并由AIAP上海分公司缴纳企业所得税，该业务其实已经在中国境内缴纳了企业所得税，无</w:t>
      </w:r>
      <w:r>
        <w:rPr>
          <w:rFonts w:hint="eastAsia" w:ascii="宋体" w:hAnsi="宋体" w:eastAsia="宋体"/>
          <w:szCs w:val="24"/>
        </w:rPr>
        <w:t>需</w:t>
      </w:r>
      <w:r>
        <w:rPr>
          <w:rFonts w:ascii="宋体" w:hAnsi="宋体" w:eastAsia="宋体"/>
          <w:szCs w:val="24"/>
        </w:rPr>
        <w:t>再进行代扣代缴。</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税务机关调查发现，</w:t>
      </w:r>
      <w:r>
        <w:rPr>
          <w:rFonts w:ascii="宋体" w:hAnsi="宋体" w:eastAsia="宋体"/>
          <w:szCs w:val="24"/>
        </w:rPr>
        <w:t>AIAP公司收到C公司支付的货款后，指派技术人员在AIAP上海分公司的安排下进驻C公司施工。根据《</w:t>
      </w:r>
      <w:bookmarkStart w:id="0" w:name="_Hlk94640878"/>
      <w:r>
        <w:rPr>
          <w:rFonts w:ascii="宋体" w:hAnsi="宋体" w:eastAsia="宋体"/>
          <w:szCs w:val="24"/>
        </w:rPr>
        <w:fldChar w:fldCharType="begin"/>
      </w:r>
      <w:r>
        <w:rPr>
          <w:rFonts w:ascii="宋体" w:hAnsi="宋体" w:eastAsia="宋体"/>
          <w:szCs w:val="24"/>
        </w:rPr>
        <w:instrText xml:space="preserve"> HYPERLINK "http://ssfb86.com/index/News/detail/newsid/575.html" </w:instrText>
      </w:r>
      <w:r>
        <w:rPr>
          <w:rFonts w:ascii="宋体" w:hAnsi="宋体" w:eastAsia="宋体"/>
          <w:szCs w:val="24"/>
        </w:rPr>
        <w:fldChar w:fldCharType="separate"/>
      </w:r>
      <w:r>
        <w:rPr>
          <w:rStyle w:val="11"/>
          <w:rFonts w:ascii="宋体" w:hAnsi="宋体" w:eastAsia="宋体"/>
          <w:szCs w:val="24"/>
        </w:rPr>
        <w:t>中华人民共和国企业所得税法</w:t>
      </w:r>
      <w:r>
        <w:rPr>
          <w:rFonts w:ascii="宋体" w:hAnsi="宋体" w:eastAsia="宋体"/>
          <w:szCs w:val="24"/>
        </w:rPr>
        <w:fldChar w:fldCharType="end"/>
      </w:r>
      <w:bookmarkEnd w:id="0"/>
      <w:r>
        <w:rPr>
          <w:rFonts w:ascii="宋体" w:hAnsi="宋体" w:eastAsia="宋体"/>
          <w:szCs w:val="24"/>
        </w:rPr>
        <w:t>》第三条第三款和《</w:t>
      </w:r>
      <w:bookmarkStart w:id="1" w:name="_Hlk94640889"/>
      <w:r>
        <w:rPr>
          <w:rFonts w:ascii="宋体" w:hAnsi="宋体" w:eastAsia="宋体"/>
          <w:szCs w:val="24"/>
        </w:rPr>
        <w:fldChar w:fldCharType="begin"/>
      </w:r>
      <w:r>
        <w:rPr>
          <w:rFonts w:ascii="宋体" w:hAnsi="宋体" w:eastAsia="宋体"/>
          <w:szCs w:val="24"/>
        </w:rPr>
        <w:instrText xml:space="preserve"> HYPERLINK "http://ssfb86.com/index/News/detail/newsid/7083.html" </w:instrText>
      </w:r>
      <w:r>
        <w:rPr>
          <w:rFonts w:ascii="宋体" w:hAnsi="宋体" w:eastAsia="宋体"/>
          <w:szCs w:val="24"/>
        </w:rPr>
        <w:fldChar w:fldCharType="separate"/>
      </w:r>
      <w:r>
        <w:rPr>
          <w:rStyle w:val="11"/>
          <w:rFonts w:ascii="宋体" w:hAnsi="宋体" w:eastAsia="宋体"/>
          <w:szCs w:val="24"/>
        </w:rPr>
        <w:t>中华人民共和国企业所得税法实施条例</w:t>
      </w:r>
      <w:r>
        <w:rPr>
          <w:rFonts w:ascii="宋体" w:hAnsi="宋体" w:eastAsia="宋体"/>
          <w:szCs w:val="24"/>
        </w:rPr>
        <w:fldChar w:fldCharType="end"/>
      </w:r>
      <w:bookmarkEnd w:id="1"/>
      <w:r>
        <w:rPr>
          <w:rFonts w:ascii="宋体" w:hAnsi="宋体" w:eastAsia="宋体"/>
          <w:szCs w:val="24"/>
        </w:rPr>
        <w:t>》第五条第（四）项规定，AIAP公司作为非居民企业，在我国境内从事安装作业的地点就构成企业所得税法所称的场所。根据《</w:t>
      </w:r>
      <w:bookmarkStart w:id="2" w:name="_Hlk94640964"/>
      <w:r>
        <w:rPr>
          <w:rFonts w:ascii="宋体" w:hAnsi="宋体" w:eastAsia="宋体"/>
          <w:szCs w:val="24"/>
        </w:rPr>
        <w:fldChar w:fldCharType="begin"/>
      </w:r>
      <w:r>
        <w:rPr>
          <w:rFonts w:ascii="宋体" w:hAnsi="宋体" w:eastAsia="宋体"/>
          <w:szCs w:val="24"/>
        </w:rPr>
        <w:instrText xml:space="preserve"> HYPERLINK "http://ssfb86.com/index/News/detail/newsid/575.html" </w:instrText>
      </w:r>
      <w:r>
        <w:rPr>
          <w:rFonts w:ascii="宋体" w:hAnsi="宋体" w:eastAsia="宋体"/>
          <w:szCs w:val="24"/>
        </w:rPr>
        <w:fldChar w:fldCharType="separate"/>
      </w:r>
      <w:r>
        <w:rPr>
          <w:rStyle w:val="11"/>
          <w:rFonts w:ascii="宋体" w:hAnsi="宋体" w:eastAsia="宋体"/>
          <w:szCs w:val="24"/>
        </w:rPr>
        <w:t>中华人民共和国企业所得税法</w:t>
      </w:r>
      <w:r>
        <w:rPr>
          <w:rFonts w:ascii="宋体" w:hAnsi="宋体" w:eastAsia="宋体"/>
          <w:szCs w:val="24"/>
        </w:rPr>
        <w:fldChar w:fldCharType="end"/>
      </w:r>
      <w:bookmarkEnd w:id="2"/>
      <w:r>
        <w:rPr>
          <w:rFonts w:ascii="宋体" w:hAnsi="宋体" w:eastAsia="宋体"/>
          <w:szCs w:val="24"/>
        </w:rPr>
        <w:t>》第三十八条和《</w:t>
      </w:r>
      <w:r>
        <w:fldChar w:fldCharType="begin"/>
      </w:r>
      <w:r>
        <w:instrText xml:space="preserve"> HYPERLINK "http://ssfb86.com/index/News/detail/newsid/7083.html" </w:instrText>
      </w:r>
      <w:r>
        <w:fldChar w:fldCharType="separate"/>
      </w:r>
      <w:r>
        <w:rPr>
          <w:rStyle w:val="11"/>
          <w:rFonts w:ascii="宋体" w:hAnsi="宋体" w:eastAsia="宋体"/>
          <w:szCs w:val="24"/>
        </w:rPr>
        <w:t>中华人民共和国企业所得税法实施条例</w:t>
      </w:r>
      <w:r>
        <w:rPr>
          <w:rStyle w:val="11"/>
          <w:rFonts w:ascii="宋体" w:hAnsi="宋体" w:eastAsia="宋体"/>
          <w:szCs w:val="24"/>
        </w:rPr>
        <w:fldChar w:fldCharType="end"/>
      </w:r>
      <w:r>
        <w:rPr>
          <w:rFonts w:ascii="宋体" w:hAnsi="宋体" w:eastAsia="宋体"/>
          <w:szCs w:val="24"/>
        </w:rPr>
        <w:t>》第一百零六条规定，C公司支付给AIAP公司的安装费作为非居民企业提供服务的所得，应由ALAP公司在我国申报缴纳企业所得税</w:t>
      </w:r>
      <w:r>
        <w:rPr>
          <w:rFonts w:hint="eastAsia" w:ascii="宋体" w:hAnsi="宋体" w:eastAsia="宋体"/>
          <w:szCs w:val="24"/>
        </w:rPr>
        <w:t>。由于</w:t>
      </w:r>
      <w:r>
        <w:rPr>
          <w:rFonts w:ascii="宋体" w:hAnsi="宋体" w:eastAsia="宋体"/>
          <w:szCs w:val="24"/>
        </w:rPr>
        <w:t>AIAP公司没有在我国申报缴纳企业所得税，按照税法规定，税务机关可以指定由C公司代扣代缴ATAP公司在境内D市服务项目的企业所得税。</w:t>
      </w:r>
    </w:p>
    <w:p>
      <w:pPr>
        <w:spacing w:before="156" w:beforeLines="50" w:beforeAutospacing="0" w:after="156" w:afterLines="50" w:afterAutospacing="0" w:line="360" w:lineRule="auto"/>
        <w:ind w:firstLine="480" w:firstLineChars="200"/>
        <w:rPr>
          <w:rFonts w:ascii="宋体" w:hAnsi="宋体" w:eastAsia="宋体"/>
          <w:szCs w:val="24"/>
        </w:rPr>
      </w:pPr>
    </w:p>
    <w:p>
      <w:pPr>
        <w:pStyle w:val="2"/>
        <w:spacing w:before="50" w:beforeAutospacing="0" w:after="50" w:afterAutospacing="0" w:line="360" w:lineRule="auto"/>
        <w:ind w:firstLine="482" w:firstLineChars="200"/>
        <w:rPr>
          <w:rFonts w:ascii="宋体" w:hAnsi="宋体" w:eastAsia="宋体"/>
          <w:sz w:val="24"/>
          <w:szCs w:val="24"/>
        </w:rPr>
      </w:pPr>
      <w:r>
        <w:rPr>
          <w:rFonts w:ascii="宋体" w:hAnsi="宋体" w:eastAsia="宋体"/>
          <w:sz w:val="24"/>
          <w:szCs w:val="24"/>
        </w:rPr>
        <w:t>案</w:t>
      </w:r>
      <w:r>
        <w:rPr>
          <w:rFonts w:hint="eastAsia" w:ascii="宋体" w:hAnsi="宋体" w:eastAsia="宋体"/>
          <w:sz w:val="24"/>
          <w:szCs w:val="24"/>
        </w:rPr>
        <w:t>例</w:t>
      </w:r>
      <w:r>
        <w:rPr>
          <w:rFonts w:ascii="宋体" w:hAnsi="宋体" w:eastAsia="宋体"/>
          <w:sz w:val="24"/>
          <w:szCs w:val="24"/>
        </w:rPr>
        <w:t>评析</w:t>
      </w:r>
    </w:p>
    <w:p>
      <w:pPr>
        <w:spacing w:before="156" w:beforeLines="50" w:beforeAutospacing="0" w:after="156" w:afterLines="50" w:afterAutospacing="0" w:line="360" w:lineRule="auto"/>
        <w:ind w:firstLine="480" w:firstLineChars="200"/>
        <w:rPr>
          <w:rFonts w:ascii="宋体" w:hAnsi="宋体" w:eastAsia="宋体"/>
          <w:szCs w:val="24"/>
        </w:rPr>
      </w:pP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本案中，</w:t>
      </w:r>
      <w:r>
        <w:rPr>
          <w:rFonts w:ascii="宋体" w:hAnsi="宋体" w:eastAsia="宋体"/>
          <w:szCs w:val="24"/>
        </w:rPr>
        <w:t>C公司的钻井设备采购合同中既有货物购销也有涉税服务，企业未按规定分别核算，也未代扣</w:t>
      </w:r>
      <w:r>
        <w:rPr>
          <w:rFonts w:hint="eastAsia" w:ascii="宋体" w:hAnsi="宋体" w:eastAsia="宋体"/>
          <w:szCs w:val="24"/>
        </w:rPr>
        <w:t>代</w:t>
      </w:r>
      <w:r>
        <w:rPr>
          <w:rFonts w:ascii="宋体" w:hAnsi="宋体" w:eastAsia="宋体"/>
          <w:szCs w:val="24"/>
        </w:rPr>
        <w:t>缴非居民企业服务项目的企业所得税。税务机关通过全面检查，仔细核验采购合同，调查境外收款方业务，实破此</w:t>
      </w:r>
      <w:r>
        <w:rPr>
          <w:rFonts w:hint="eastAsia" w:ascii="宋体" w:hAnsi="宋体" w:eastAsia="宋体"/>
          <w:szCs w:val="24"/>
        </w:rPr>
        <w:t>案</w:t>
      </w:r>
      <w:r>
        <w:rPr>
          <w:rFonts w:ascii="宋体" w:hAnsi="宋体" w:eastAsia="宋体"/>
          <w:szCs w:val="24"/>
        </w:rPr>
        <w:t>。以本案为</w:t>
      </w:r>
      <w:r>
        <w:rPr>
          <w:rFonts w:hint="eastAsia" w:ascii="宋体" w:hAnsi="宋体" w:eastAsia="宋体"/>
          <w:szCs w:val="24"/>
        </w:rPr>
        <w:t>鉴</w:t>
      </w:r>
      <w:r>
        <w:rPr>
          <w:rFonts w:ascii="宋体" w:hAnsi="宋体" w:eastAsia="宋体"/>
          <w:szCs w:val="24"/>
        </w:rPr>
        <w:t>，可以得到以下启示</w:t>
      </w:r>
      <w:r>
        <w:rPr>
          <w:rFonts w:hint="eastAsia" w:ascii="宋体" w:hAnsi="宋体" w:eastAsia="宋体"/>
          <w:szCs w:val="24"/>
        </w:rPr>
        <w:t>。</w:t>
      </w: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一、合理确认跨境劳务收入的计税依据</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对非居民企业跨境劳务收入征收企业所得税首先要确定计移依据，本案中，</w:t>
      </w:r>
      <w:r>
        <w:rPr>
          <w:rFonts w:ascii="宋体" w:hAnsi="宋体" w:eastAsia="宋体"/>
          <w:szCs w:val="24"/>
        </w:rPr>
        <w:t>c公司与ALAP公司签订的钻井设备采购合同未对“服务条款”单独定价。</w:t>
      </w:r>
      <w:r>
        <w:rPr>
          <w:rFonts w:ascii="宋体" w:hAnsi="宋体" w:eastAsia="宋体"/>
          <w:color w:val="C55A11" w:themeColor="accent2" w:themeShade="BF"/>
          <w:szCs w:val="24"/>
        </w:rPr>
        <w:t>《国家税务总局关于印发（非居民企业所得税核定征收管理办法）的通知）（</w:t>
      </w:r>
      <w:r>
        <w:rPr>
          <w:color w:val="C55A11" w:themeColor="accent2" w:themeShade="BF"/>
        </w:rPr>
        <w:fldChar w:fldCharType="begin"/>
      </w:r>
      <w:r>
        <w:rPr>
          <w:color w:val="C55A11" w:themeColor="accent2" w:themeShade="BF"/>
        </w:rPr>
        <w:instrText xml:space="preserve"> HYPERLINK "http://ssfb86.com/index/News/detail/newsid/1979.html" </w:instrText>
      </w:r>
      <w:r>
        <w:rPr>
          <w:color w:val="C55A11" w:themeColor="accent2" w:themeShade="BF"/>
        </w:rPr>
        <w:fldChar w:fldCharType="separate"/>
      </w:r>
      <w:r>
        <w:rPr>
          <w:rStyle w:val="11"/>
          <w:rFonts w:ascii="宋体" w:hAnsi="宋体" w:eastAsia="宋体"/>
          <w:color w:val="C55A11" w:themeColor="accent2" w:themeShade="BF"/>
          <w:szCs w:val="24"/>
        </w:rPr>
        <w:t>国税发〔2010〕19号</w:t>
      </w:r>
      <w:r>
        <w:rPr>
          <w:rStyle w:val="11"/>
          <w:rFonts w:ascii="宋体" w:hAnsi="宋体" w:eastAsia="宋体"/>
          <w:color w:val="C55A11" w:themeColor="accent2" w:themeShade="BF"/>
          <w:szCs w:val="24"/>
        </w:rPr>
        <w:fldChar w:fldCharType="end"/>
      </w:r>
      <w:r>
        <w:rPr>
          <w:rFonts w:ascii="宋体" w:hAnsi="宋体" w:eastAsia="宋体"/>
          <w:color w:val="C55A11" w:themeColor="accent2" w:themeShade="BF"/>
          <w:szCs w:val="24"/>
        </w:rPr>
        <w:t>）第六条规定：“非居民企业与中国居民企业签订机器设备或货物销售合同，同时提供设备安装、装配、技术培训、指导、监督服务等劳务，其销售货物合同中未列明提供上述劳务服务收费金额，或者计价不合理的，主管税务机关可以根据实际情况，参照相同或相近业务的计价标准核定劳务收人。无参照标准的，以不</w:t>
      </w:r>
      <w:r>
        <w:rPr>
          <w:rFonts w:hint="eastAsia" w:ascii="宋体" w:hAnsi="宋体" w:eastAsia="宋体"/>
          <w:color w:val="C55A11" w:themeColor="accent2" w:themeShade="BF"/>
          <w:szCs w:val="24"/>
        </w:rPr>
        <w:t>低于销售货物合同总价款的</w:t>
      </w:r>
      <w:r>
        <w:rPr>
          <w:rFonts w:ascii="宋体" w:hAnsi="宋体" w:eastAsia="宋体"/>
          <w:color w:val="C55A11" w:themeColor="accent2" w:themeShade="BF"/>
          <w:szCs w:val="24"/>
        </w:rPr>
        <w:t>10%为原则，确</w:t>
      </w:r>
      <w:r>
        <w:rPr>
          <w:rFonts w:hint="eastAsia" w:ascii="宋体" w:hAnsi="宋体" w:eastAsia="宋体"/>
          <w:color w:val="C55A11" w:themeColor="accent2" w:themeShade="BF"/>
          <w:szCs w:val="24"/>
        </w:rPr>
        <w:t>定非居民企业的劳务收入。”据此，税务机关按照采购合同总价款的</w:t>
      </w:r>
      <w:r>
        <w:rPr>
          <w:rFonts w:ascii="宋体" w:hAnsi="宋体" w:eastAsia="宋体"/>
          <w:color w:val="C55A11" w:themeColor="accent2" w:themeShade="BF"/>
          <w:szCs w:val="24"/>
        </w:rPr>
        <w:t>10%确定AIAP公司的劳务收入，并核定其服务利润率为15%</w:t>
      </w:r>
      <w:r>
        <w:rPr>
          <w:rFonts w:ascii="宋体" w:hAnsi="宋体" w:eastAsia="宋体"/>
          <w:szCs w:val="24"/>
        </w:rPr>
        <w:t>。</w:t>
      </w: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二、关注非居民企业在境内是否设立机构、场所</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本案中，</w:t>
      </w:r>
      <w:r>
        <w:rPr>
          <w:rFonts w:ascii="宋体" w:hAnsi="宋体" w:eastAsia="宋体"/>
          <w:szCs w:val="24"/>
        </w:rPr>
        <w:t>AIAP公司提供的安装劳务发生在境内D市，符合在我国境内有“从事建筑、安装、装配、修理、勘探等工程作业的场所”规定，</w:t>
      </w:r>
      <w:r>
        <w:rPr>
          <w:rFonts w:ascii="宋体" w:hAnsi="宋体" w:eastAsia="宋体"/>
          <w:color w:val="C55A11" w:themeColor="accent2" w:themeShade="BF"/>
          <w:szCs w:val="24"/>
        </w:rPr>
        <w:t>AIAP公司应就该场所来源于中国境内的所得按照《</w:t>
      </w:r>
      <w:r>
        <w:rPr>
          <w:color w:val="C55A11" w:themeColor="accent2" w:themeShade="BF"/>
        </w:rPr>
        <w:fldChar w:fldCharType="begin"/>
      </w:r>
      <w:r>
        <w:rPr>
          <w:color w:val="C55A11" w:themeColor="accent2" w:themeShade="BF"/>
        </w:rPr>
        <w:instrText xml:space="preserve"> HYPERLINK "http://ssfb86.com/index/News/detail/newsid/575.html" </w:instrText>
      </w:r>
      <w:r>
        <w:rPr>
          <w:color w:val="C55A11" w:themeColor="accent2" w:themeShade="BF"/>
        </w:rPr>
        <w:fldChar w:fldCharType="separate"/>
      </w:r>
      <w:r>
        <w:rPr>
          <w:rStyle w:val="11"/>
          <w:rFonts w:ascii="宋体" w:hAnsi="宋体" w:eastAsia="宋体"/>
          <w:color w:val="C55A11" w:themeColor="accent2" w:themeShade="BF"/>
          <w:szCs w:val="24"/>
        </w:rPr>
        <w:t>中华人民共和国企业所得税法</w:t>
      </w:r>
      <w:r>
        <w:rPr>
          <w:rStyle w:val="11"/>
          <w:rFonts w:ascii="宋体" w:hAnsi="宋体" w:eastAsia="宋体"/>
          <w:color w:val="C55A11" w:themeColor="accent2" w:themeShade="BF"/>
          <w:szCs w:val="24"/>
        </w:rPr>
        <w:fldChar w:fldCharType="end"/>
      </w:r>
      <w:r>
        <w:rPr>
          <w:rFonts w:ascii="宋体" w:hAnsi="宋体" w:eastAsia="宋体"/>
          <w:color w:val="C55A11" w:themeColor="accent2" w:themeShade="BF"/>
          <w:szCs w:val="24"/>
        </w:rPr>
        <w:t>》第三系第二款的规定缴纳企业所得税，适用25%的税率，而不能按照《</w:t>
      </w:r>
      <w:r>
        <w:rPr>
          <w:color w:val="C55A11" w:themeColor="accent2" w:themeShade="BF"/>
        </w:rPr>
        <w:fldChar w:fldCharType="begin"/>
      </w:r>
      <w:r>
        <w:rPr>
          <w:color w:val="C55A11" w:themeColor="accent2" w:themeShade="BF"/>
        </w:rPr>
        <w:instrText xml:space="preserve"> HYPERLINK "http://ssfb86.com/index/News/detail/newsid/575.html" </w:instrText>
      </w:r>
      <w:r>
        <w:rPr>
          <w:color w:val="C55A11" w:themeColor="accent2" w:themeShade="BF"/>
        </w:rPr>
        <w:fldChar w:fldCharType="separate"/>
      </w:r>
      <w:r>
        <w:rPr>
          <w:rStyle w:val="11"/>
          <w:rFonts w:ascii="宋体" w:hAnsi="宋体" w:eastAsia="宋体"/>
          <w:color w:val="C55A11" w:themeColor="accent2" w:themeShade="BF"/>
          <w:szCs w:val="24"/>
        </w:rPr>
        <w:t>中华人民共和国企业所得税法</w:t>
      </w:r>
      <w:r>
        <w:rPr>
          <w:rStyle w:val="11"/>
          <w:rFonts w:ascii="宋体" w:hAnsi="宋体" w:eastAsia="宋体"/>
          <w:color w:val="C55A11" w:themeColor="accent2" w:themeShade="BF"/>
          <w:szCs w:val="24"/>
        </w:rPr>
        <w:fldChar w:fldCharType="end"/>
      </w:r>
      <w:r>
        <w:rPr>
          <w:rFonts w:ascii="宋体" w:hAnsi="宋体" w:eastAsia="宋体"/>
          <w:color w:val="C55A11" w:themeColor="accent2" w:themeShade="BF"/>
          <w:szCs w:val="24"/>
        </w:rPr>
        <w:t>》第三条第三款及第四条规定适用20%的税率</w:t>
      </w:r>
      <w:r>
        <w:rPr>
          <w:rFonts w:ascii="宋体" w:hAnsi="宋体" w:eastAsia="宋体"/>
          <w:szCs w:val="24"/>
        </w:rPr>
        <w:t>。可见，非居民企业是否在境内设立机构、场所，直接影响其企业所得税的缴纳方式和适用税率。检查中，应重点取证确定非居民企业是否在境内设立机构、场所，从而明确纳税义务和适用税率等。</w:t>
      </w:r>
    </w:p>
    <w:p>
      <w:pPr>
        <w:pStyle w:val="3"/>
        <w:spacing w:before="50" w:beforeAutospacing="0" w:after="50" w:afterAutospacing="0" w:line="360" w:lineRule="auto"/>
        <w:ind w:firstLine="482" w:firstLineChars="200"/>
        <w:rPr>
          <w:rFonts w:ascii="宋体" w:hAnsi="宋体" w:eastAsia="宋体"/>
          <w:sz w:val="24"/>
          <w:szCs w:val="24"/>
        </w:rPr>
      </w:pPr>
      <w:r>
        <w:rPr>
          <w:rFonts w:hint="eastAsia" w:ascii="宋体" w:hAnsi="宋体" w:eastAsia="宋体"/>
          <w:sz w:val="24"/>
          <w:szCs w:val="24"/>
        </w:rPr>
        <w:t>三、关注跨境支付业务是否足额缴税</w:t>
      </w:r>
    </w:p>
    <w:p>
      <w:pPr>
        <w:spacing w:before="156" w:beforeLines="50" w:beforeAutospacing="0" w:after="156" w:afterLines="50" w:afterAutospacing="0" w:line="360" w:lineRule="auto"/>
        <w:ind w:firstLine="480" w:firstLineChars="200"/>
        <w:rPr>
          <w:rFonts w:ascii="宋体" w:hAnsi="宋体" w:eastAsia="宋体"/>
          <w:szCs w:val="24"/>
        </w:rPr>
      </w:pPr>
      <w:r>
        <w:rPr>
          <w:rFonts w:hint="eastAsia" w:ascii="宋体" w:hAnsi="宋体" w:eastAsia="宋体"/>
          <w:szCs w:val="24"/>
        </w:rPr>
        <w:t>本案中，税务机关通过对</w:t>
      </w:r>
      <w:r>
        <w:rPr>
          <w:rFonts w:ascii="宋体" w:hAnsi="宋体" w:eastAsia="宋体"/>
          <w:szCs w:val="24"/>
        </w:rPr>
        <w:t>C公司跨境采购业务进行检查，发现非居民企业AIAP公司从我国境内取得劳务所得未缴纳企业所得税的违法事实。检查中，如果发现纳税人有跨境支付交易，应对境外收款方的业务进行延伸调查。尤其是对隐藏在</w:t>
      </w:r>
      <w:r>
        <w:rPr>
          <w:rFonts w:hint="eastAsia" w:ascii="宋体" w:hAnsi="宋体" w:eastAsia="宋体"/>
          <w:szCs w:val="24"/>
        </w:rPr>
        <w:t>货</w:t>
      </w:r>
      <w:r>
        <w:rPr>
          <w:rFonts w:ascii="宋体" w:hAnsi="宋体" w:eastAsia="宋体"/>
          <w:szCs w:val="24"/>
        </w:rPr>
        <w:t>物采购合同项下的服务项目，应从账面核查延伸到实际业务检查，及时发现账面上未反映或反映不全面的服务项目内容，防范税收流失风险。</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885067"/>
      <w:docPartObj>
        <w:docPartGallery w:val="autotext"/>
      </w:docPartObj>
    </w:sdtPr>
    <w:sdtContent>
      <w:sdt>
        <w:sdtPr>
          <w:id w:val="1728636285"/>
          <w:docPartObj>
            <w:docPartGallery w:val="autotext"/>
          </w:docPartObj>
        </w:sdtPr>
        <w:sdtContent>
          <w:p>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47B"/>
    <w:rsid w:val="00016CCE"/>
    <w:rsid w:val="00022D55"/>
    <w:rsid w:val="00032E3D"/>
    <w:rsid w:val="00043834"/>
    <w:rsid w:val="00050B5C"/>
    <w:rsid w:val="000568DE"/>
    <w:rsid w:val="00065BA9"/>
    <w:rsid w:val="00066285"/>
    <w:rsid w:val="000731B6"/>
    <w:rsid w:val="000828D5"/>
    <w:rsid w:val="000B59A5"/>
    <w:rsid w:val="00100939"/>
    <w:rsid w:val="0010174F"/>
    <w:rsid w:val="00120194"/>
    <w:rsid w:val="00126C60"/>
    <w:rsid w:val="0018253C"/>
    <w:rsid w:val="00186ECF"/>
    <w:rsid w:val="001A3EF7"/>
    <w:rsid w:val="001C594E"/>
    <w:rsid w:val="001D0127"/>
    <w:rsid w:val="001D3F4D"/>
    <w:rsid w:val="001F7041"/>
    <w:rsid w:val="00221EDC"/>
    <w:rsid w:val="0022440A"/>
    <w:rsid w:val="00224CA9"/>
    <w:rsid w:val="002479E5"/>
    <w:rsid w:val="00255106"/>
    <w:rsid w:val="002A2733"/>
    <w:rsid w:val="002B299C"/>
    <w:rsid w:val="002B4073"/>
    <w:rsid w:val="002D373B"/>
    <w:rsid w:val="002E29FC"/>
    <w:rsid w:val="002F419C"/>
    <w:rsid w:val="00306CDF"/>
    <w:rsid w:val="00307CB1"/>
    <w:rsid w:val="003450B5"/>
    <w:rsid w:val="00383A87"/>
    <w:rsid w:val="003B300E"/>
    <w:rsid w:val="003E2A0E"/>
    <w:rsid w:val="003F714A"/>
    <w:rsid w:val="0040239C"/>
    <w:rsid w:val="00412A5E"/>
    <w:rsid w:val="00427EEE"/>
    <w:rsid w:val="004326F7"/>
    <w:rsid w:val="004740C5"/>
    <w:rsid w:val="004748DC"/>
    <w:rsid w:val="00493D98"/>
    <w:rsid w:val="004A5E3E"/>
    <w:rsid w:val="004A6C2B"/>
    <w:rsid w:val="004C171E"/>
    <w:rsid w:val="004D0CC9"/>
    <w:rsid w:val="004D2FA3"/>
    <w:rsid w:val="004E76FD"/>
    <w:rsid w:val="00525169"/>
    <w:rsid w:val="005313D8"/>
    <w:rsid w:val="00541787"/>
    <w:rsid w:val="00545DF8"/>
    <w:rsid w:val="00550878"/>
    <w:rsid w:val="005A11B0"/>
    <w:rsid w:val="005B1EC2"/>
    <w:rsid w:val="005C5071"/>
    <w:rsid w:val="0060104E"/>
    <w:rsid w:val="00624DCA"/>
    <w:rsid w:val="00625239"/>
    <w:rsid w:val="00625311"/>
    <w:rsid w:val="00635D1C"/>
    <w:rsid w:val="00652C01"/>
    <w:rsid w:val="00660828"/>
    <w:rsid w:val="00663E5B"/>
    <w:rsid w:val="00676A40"/>
    <w:rsid w:val="00682742"/>
    <w:rsid w:val="00687828"/>
    <w:rsid w:val="006917CA"/>
    <w:rsid w:val="006C209F"/>
    <w:rsid w:val="006E357B"/>
    <w:rsid w:val="006E3E26"/>
    <w:rsid w:val="006E49CF"/>
    <w:rsid w:val="006E76EE"/>
    <w:rsid w:val="0070349D"/>
    <w:rsid w:val="00720F29"/>
    <w:rsid w:val="007440D2"/>
    <w:rsid w:val="00752CF1"/>
    <w:rsid w:val="0077120C"/>
    <w:rsid w:val="00783C34"/>
    <w:rsid w:val="007941D7"/>
    <w:rsid w:val="007969AE"/>
    <w:rsid w:val="007A4003"/>
    <w:rsid w:val="007A6F96"/>
    <w:rsid w:val="007B1337"/>
    <w:rsid w:val="007C0D6A"/>
    <w:rsid w:val="007C528F"/>
    <w:rsid w:val="007E479C"/>
    <w:rsid w:val="007F10A1"/>
    <w:rsid w:val="00824111"/>
    <w:rsid w:val="00840B39"/>
    <w:rsid w:val="008444D3"/>
    <w:rsid w:val="0085176F"/>
    <w:rsid w:val="00851D05"/>
    <w:rsid w:val="00870EEF"/>
    <w:rsid w:val="00893040"/>
    <w:rsid w:val="008C45BD"/>
    <w:rsid w:val="008F65F4"/>
    <w:rsid w:val="008F765D"/>
    <w:rsid w:val="00920A9C"/>
    <w:rsid w:val="00922D28"/>
    <w:rsid w:val="00935BF3"/>
    <w:rsid w:val="009433C9"/>
    <w:rsid w:val="00945251"/>
    <w:rsid w:val="00974FFF"/>
    <w:rsid w:val="00986FCA"/>
    <w:rsid w:val="009A47F3"/>
    <w:rsid w:val="009C660E"/>
    <w:rsid w:val="009D3757"/>
    <w:rsid w:val="009E03FC"/>
    <w:rsid w:val="009E5431"/>
    <w:rsid w:val="00A2160E"/>
    <w:rsid w:val="00A2487D"/>
    <w:rsid w:val="00A5447B"/>
    <w:rsid w:val="00A62E79"/>
    <w:rsid w:val="00AB4705"/>
    <w:rsid w:val="00AE3ECF"/>
    <w:rsid w:val="00AF0236"/>
    <w:rsid w:val="00B02133"/>
    <w:rsid w:val="00B34591"/>
    <w:rsid w:val="00B47B0C"/>
    <w:rsid w:val="00B514B3"/>
    <w:rsid w:val="00B938E8"/>
    <w:rsid w:val="00B93FD3"/>
    <w:rsid w:val="00B954BC"/>
    <w:rsid w:val="00BA3407"/>
    <w:rsid w:val="00BA66BD"/>
    <w:rsid w:val="00BB5115"/>
    <w:rsid w:val="00BB7B96"/>
    <w:rsid w:val="00C01FBF"/>
    <w:rsid w:val="00C22DA0"/>
    <w:rsid w:val="00C358D7"/>
    <w:rsid w:val="00C52768"/>
    <w:rsid w:val="00C556F9"/>
    <w:rsid w:val="00C64F1F"/>
    <w:rsid w:val="00C87654"/>
    <w:rsid w:val="00CA7FCD"/>
    <w:rsid w:val="00CB153A"/>
    <w:rsid w:val="00CB4754"/>
    <w:rsid w:val="00CE2EB7"/>
    <w:rsid w:val="00CF4530"/>
    <w:rsid w:val="00D04BB0"/>
    <w:rsid w:val="00D104CC"/>
    <w:rsid w:val="00D25BAC"/>
    <w:rsid w:val="00D34820"/>
    <w:rsid w:val="00D3501C"/>
    <w:rsid w:val="00D431CD"/>
    <w:rsid w:val="00D45446"/>
    <w:rsid w:val="00D5630C"/>
    <w:rsid w:val="00D721FC"/>
    <w:rsid w:val="00D807E0"/>
    <w:rsid w:val="00D96D98"/>
    <w:rsid w:val="00DA07EF"/>
    <w:rsid w:val="00DB404D"/>
    <w:rsid w:val="00DB6F35"/>
    <w:rsid w:val="00DE4F25"/>
    <w:rsid w:val="00DE7549"/>
    <w:rsid w:val="00E059F6"/>
    <w:rsid w:val="00E4707A"/>
    <w:rsid w:val="00E6119F"/>
    <w:rsid w:val="00E621B3"/>
    <w:rsid w:val="00E86883"/>
    <w:rsid w:val="00E95299"/>
    <w:rsid w:val="00E96E31"/>
    <w:rsid w:val="00EA1047"/>
    <w:rsid w:val="00EA1817"/>
    <w:rsid w:val="00EB4965"/>
    <w:rsid w:val="00ED3216"/>
    <w:rsid w:val="00F3495D"/>
    <w:rsid w:val="00F41CB9"/>
    <w:rsid w:val="00F5520A"/>
    <w:rsid w:val="00F6190D"/>
    <w:rsid w:val="00F61988"/>
    <w:rsid w:val="00F6634F"/>
    <w:rsid w:val="00F77827"/>
    <w:rsid w:val="00F854DA"/>
    <w:rsid w:val="00F94BBD"/>
    <w:rsid w:val="00FA38A9"/>
    <w:rsid w:val="00FB6107"/>
    <w:rsid w:val="00FB7617"/>
    <w:rsid w:val="00FE4ECC"/>
    <w:rsid w:val="00FF1924"/>
    <w:rsid w:val="0C0F3088"/>
    <w:rsid w:val="734B0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00" w:afterAutospacing="1" w:line="312" w:lineRule="auto"/>
      <w:jc w:val="both"/>
    </w:pPr>
    <w:rPr>
      <w:rFonts w:ascii="仿宋" w:hAnsi="仿宋" w:eastAsia="仿宋" w:cstheme="minorBidi"/>
      <w:kern w:val="2"/>
      <w:sz w:val="24"/>
      <w:szCs w:val="28"/>
      <w:lang w:val="en-US" w:eastAsia="zh-CN" w:bidi="ar-SA"/>
    </w:rPr>
  </w:style>
  <w:style w:type="paragraph" w:styleId="2">
    <w:name w:val="heading 1"/>
    <w:basedOn w:val="1"/>
    <w:next w:val="1"/>
    <w:link w:val="12"/>
    <w:qFormat/>
    <w:uiPriority w:val="9"/>
    <w:pPr>
      <w:jc w:val="center"/>
      <w:outlineLvl w:val="0"/>
    </w:pPr>
    <w:rPr>
      <w:b/>
      <w:bCs/>
      <w:sz w:val="36"/>
      <w:szCs w:val="40"/>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7"/>
    <w:unhideWhenUsed/>
    <w:qFormat/>
    <w:uiPriority w:val="99"/>
    <w:pPr>
      <w:tabs>
        <w:tab w:val="center" w:pos="4153"/>
        <w:tab w:val="right" w:pos="8306"/>
      </w:tabs>
      <w:snapToGrid w:val="0"/>
      <w:spacing w:line="240" w:lineRule="auto"/>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Normal (Web)"/>
    <w:basedOn w:val="1"/>
    <w:semiHidden/>
    <w:unhideWhenUsed/>
    <w:qFormat/>
    <w:uiPriority w:val="99"/>
    <w:pPr>
      <w:spacing w:line="240" w:lineRule="auto"/>
      <w:jc w:val="left"/>
    </w:pPr>
    <w:rPr>
      <w:rFonts w:ascii="宋体" w:hAnsi="宋体" w:eastAsia="宋体" w:cs="宋体"/>
      <w:kern w:val="0"/>
      <w:szCs w:val="24"/>
    </w:rPr>
  </w:style>
  <w:style w:type="character" w:styleId="10">
    <w:name w:val="FollowedHyperlink"/>
    <w:basedOn w:val="9"/>
    <w:semiHidden/>
    <w:unhideWhenUsed/>
    <w:qFormat/>
    <w:uiPriority w:val="99"/>
    <w:rPr>
      <w:color w:val="800080"/>
      <w:u w:val="single"/>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1 字符"/>
    <w:basedOn w:val="9"/>
    <w:link w:val="2"/>
    <w:qFormat/>
    <w:uiPriority w:val="9"/>
    <w:rPr>
      <w:rFonts w:ascii="仿宋" w:hAnsi="仿宋" w:eastAsia="仿宋"/>
      <w:b/>
      <w:bCs/>
      <w:sz w:val="36"/>
      <w:szCs w:val="40"/>
    </w:rPr>
  </w:style>
  <w:style w:type="paragraph" w:styleId="13">
    <w:name w:val="No Spacing"/>
    <w:qFormat/>
    <w:uiPriority w:val="1"/>
    <w:pPr>
      <w:spacing w:before="0" w:beforeAutospacing="0" w:after="0" w:afterAutospacing="0" w:line="240" w:lineRule="auto"/>
    </w:pPr>
    <w:rPr>
      <w:rFonts w:asciiTheme="minorHAnsi" w:hAnsiTheme="minorHAnsi" w:eastAsiaTheme="minorEastAsia" w:cstheme="minorBidi"/>
      <w:kern w:val="2"/>
      <w:sz w:val="21"/>
      <w:szCs w:val="22"/>
      <w:lang w:val="en-US" w:eastAsia="zh-CN" w:bidi="ar-SA"/>
    </w:rPr>
  </w:style>
  <w:style w:type="character" w:customStyle="1" w:styleId="14">
    <w:name w:val="标题 2 字符"/>
    <w:basedOn w:val="9"/>
    <w:link w:val="3"/>
    <w:qFormat/>
    <w:uiPriority w:val="9"/>
    <w:rPr>
      <w:rFonts w:asciiTheme="majorHAnsi" w:hAnsiTheme="majorHAnsi" w:eastAsiaTheme="majorEastAsia" w:cstheme="majorBidi"/>
      <w:b/>
      <w:bCs/>
      <w:sz w:val="32"/>
      <w:szCs w:val="32"/>
    </w:rPr>
  </w:style>
  <w:style w:type="character" w:customStyle="1" w:styleId="15">
    <w:name w:val="标题 3 字符"/>
    <w:basedOn w:val="9"/>
    <w:link w:val="4"/>
    <w:qFormat/>
    <w:uiPriority w:val="9"/>
    <w:rPr>
      <w:rFonts w:ascii="仿宋" w:hAnsi="仿宋" w:eastAsia="仿宋"/>
      <w:b/>
      <w:bCs/>
      <w:sz w:val="32"/>
      <w:szCs w:val="32"/>
    </w:rPr>
  </w:style>
  <w:style w:type="character" w:customStyle="1" w:styleId="16">
    <w:name w:val="页眉 字符"/>
    <w:basedOn w:val="9"/>
    <w:link w:val="6"/>
    <w:qFormat/>
    <w:uiPriority w:val="99"/>
    <w:rPr>
      <w:rFonts w:ascii="仿宋" w:hAnsi="仿宋" w:eastAsia="仿宋"/>
      <w:sz w:val="18"/>
      <w:szCs w:val="18"/>
    </w:rPr>
  </w:style>
  <w:style w:type="character" w:customStyle="1" w:styleId="17">
    <w:name w:val="页脚 字符"/>
    <w:basedOn w:val="9"/>
    <w:link w:val="5"/>
    <w:qFormat/>
    <w:uiPriority w:val="99"/>
    <w:rPr>
      <w:rFonts w:ascii="仿宋" w:hAnsi="仿宋" w:eastAsia="仿宋"/>
      <w:sz w:val="18"/>
      <w:szCs w:val="18"/>
    </w:rPr>
  </w:style>
  <w:style w:type="character" w:customStyle="1" w:styleId="18">
    <w:name w:val="Unresolved Mention"/>
    <w:basedOn w:val="9"/>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581</Words>
  <Characters>3315</Characters>
  <Lines>27</Lines>
  <Paragraphs>7</Paragraphs>
  <TotalTime>4</TotalTime>
  <ScaleCrop>false</ScaleCrop>
  <LinksUpToDate>false</LinksUpToDate>
  <CharactersWithSpaces>3889</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2022-01-17T12:36:00Z</dcterms:created>
  <dc:creator>A2949</dc:creator>
  <cp:lastModifiedBy>默默</cp:lastModifiedBy>
  <dcterms:modified xsi:type="dcterms:W3CDTF">2022-02-13T01:32:11Z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