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beforeAutospacing="0" w:afterLines="50" w:afterAutospacing="0" w:line="360" w:lineRule="auto"/>
        <w:jc w:val="left"/>
        <w:rPr>
          <w:rFonts w:hint="eastAsia" w:ascii="宋体" w:hAnsi="宋体" w:eastAsia="宋体"/>
          <w:kern w:val="0"/>
        </w:rPr>
      </w:pPr>
      <w:r>
        <w:rPr>
          <w:rFonts w:hint="eastAsia" w:ascii="宋体" w:hAnsi="宋体" w:eastAsia="宋体"/>
          <w:kern w:val="0"/>
        </w:rPr>
        <w:t>2020税务稽查典型案例评析之十七</w:t>
      </w:r>
    </w:p>
    <w:p>
      <w:pPr>
        <w:spacing w:before="156" w:beforeLines="50" w:beforeAutospacing="0" w:after="156" w:afterLines="50" w:afterAutospacing="0" w:line="360" w:lineRule="auto"/>
        <w:rPr>
          <w:rFonts w:hint="eastAsia" w:ascii="宋体" w:hAnsi="宋体" w:eastAsia="宋体"/>
          <w:kern w:val="0"/>
        </w:rPr>
      </w:pPr>
    </w:p>
    <w:p>
      <w:pPr>
        <w:pStyle w:val="2"/>
        <w:spacing w:before="156" w:beforeLines="50" w:beforeAutospacing="0" w:after="156" w:afterLines="50" w:afterAutospacing="0" w:line="360" w:lineRule="auto"/>
        <w:jc w:val="center"/>
        <w:rPr>
          <w:rFonts w:hint="eastAsia" w:ascii="宋体" w:hAnsi="宋体" w:eastAsia="宋体"/>
          <w:sz w:val="24"/>
          <w:szCs w:val="24"/>
        </w:rPr>
      </w:pPr>
      <w:r>
        <w:rPr>
          <w:rFonts w:hint="eastAsia" w:ascii="宋体" w:hAnsi="宋体" w:eastAsia="宋体"/>
          <w:sz w:val="24"/>
          <w:szCs w:val="24"/>
        </w:rPr>
        <w:t>摘要</w:t>
      </w:r>
    </w:p>
    <w:p>
      <w:pPr>
        <w:pStyle w:val="8"/>
        <w:spacing w:before="156" w:beforeLines="50" w:beforeAutospacing="0" w:after="156" w:afterLines="50" w:afterAutospacing="0" w:line="360" w:lineRule="auto"/>
        <w:ind w:firstLine="386"/>
        <w:rPr>
          <w:rFonts w:hint="eastAsia"/>
          <w:color w:val="943734" w:themeColor="accent2" w:themeShade="BF"/>
        </w:rPr>
      </w:pPr>
    </w:p>
    <w:p>
      <w:pPr>
        <w:spacing w:beforeLines="50" w:beforeAutospacing="0" w:afterLines="50" w:afterAutospacing="0" w:line="360" w:lineRule="auto"/>
        <w:ind w:firstLine="480" w:firstLineChars="200"/>
        <w:rPr>
          <w:rFonts w:hint="eastAsia" w:ascii="楷体" w:hAnsi="楷体" w:eastAsia="楷体" w:cs="楷体"/>
          <w:color w:val="0070C0"/>
          <w:lang w:eastAsia="zh-CN"/>
        </w:rPr>
      </w:pPr>
      <w:r>
        <w:rPr>
          <w:rFonts w:hint="eastAsia" w:ascii="楷体" w:hAnsi="楷体" w:eastAsia="楷体" w:cs="楷体"/>
          <w:color w:val="0070C0"/>
        </w:rPr>
        <w:t>一</w:t>
      </w:r>
      <w:r>
        <w:rPr>
          <w:rFonts w:hint="eastAsia" w:ascii="楷体" w:hAnsi="楷体" w:eastAsia="楷体" w:cs="楷体"/>
          <w:color w:val="0070C0"/>
          <w:lang w:eastAsia="zh-CN"/>
        </w:rPr>
        <w:t>、</w:t>
      </w:r>
      <w:r>
        <w:rPr>
          <w:rFonts w:hint="eastAsia" w:ascii="楷体" w:hAnsi="楷体" w:eastAsia="楷体" w:cs="楷体"/>
          <w:color w:val="0070C0"/>
        </w:rPr>
        <w:t>由于货物已出口离境，难以查找。检查人员从上游生产企业着手，赴湖南对C公司上游衡阳Y公司、来阳s公司两户企业进行外调取证，获知这两家公司仅生产一种型号规格的“高性能导线”。这种“高性能导线”由“国标一号银"和PVC材料简单加工而成。检查人员根据公司会计账簿资料，核算出这种导线的白银成本平均占比高达97%以上。检查人员迅速向C公司调取“高性能导线”样品，送</w:t>
      </w:r>
      <w:r>
        <w:rPr>
          <w:rFonts w:hint="eastAsia" w:ascii="楷体" w:hAnsi="楷体" w:eastAsia="楷体" w:cs="楷体"/>
          <w:b/>
          <w:bCs/>
          <w:color w:val="0070C0"/>
        </w:rPr>
        <w:t>广东省出入境检验检疫局进行检测</w:t>
      </w:r>
      <w:r>
        <w:rPr>
          <w:rFonts w:hint="eastAsia" w:ascii="楷体" w:hAnsi="楷体" w:eastAsia="楷体" w:cs="楷体"/>
          <w:color w:val="0070C0"/>
        </w:rPr>
        <w:t>。经检测，这种“高性能导线”的含银纯度高达99.3%。</w:t>
      </w:r>
    </w:p>
    <w:p>
      <w:pPr>
        <w:spacing w:beforeLines="50" w:beforeAutospacing="0" w:afterLines="50" w:afterAutospacing="0" w:line="360" w:lineRule="auto"/>
        <w:ind w:firstLine="480" w:firstLineChars="200"/>
        <w:rPr>
          <w:rFonts w:hint="eastAsia" w:ascii="楷体" w:hAnsi="楷体" w:eastAsia="楷体" w:cs="楷体"/>
          <w:color w:val="0070C0"/>
          <w:szCs w:val="24"/>
        </w:rPr>
      </w:pPr>
      <w:r>
        <w:rPr>
          <w:rFonts w:hint="eastAsia" w:ascii="楷体" w:hAnsi="楷体" w:eastAsia="楷体" w:cs="楷体"/>
          <w:color w:val="0070C0"/>
          <w:szCs w:val="24"/>
          <w:lang w:eastAsia="zh-CN"/>
        </w:rPr>
        <w:t>二、</w:t>
      </w:r>
      <w:r>
        <w:rPr>
          <w:rFonts w:hint="eastAsia" w:ascii="楷体" w:hAnsi="楷体" w:eastAsia="楷体" w:cs="楷体"/>
          <w:color w:val="0070C0"/>
          <w:szCs w:val="24"/>
        </w:rPr>
        <w:t>对骗税手段的认定是查办骗取出口退税案件的关键环节。本案中，c公司名义上出口的是“高性能导线”，但因其中纯银价值占比达97%以上，实际上出口的是白银。参照《</w:t>
      </w:r>
      <w:r>
        <w:rPr>
          <w:rFonts w:hint="eastAsia" w:ascii="楷体" w:hAnsi="楷体" w:eastAsia="楷体" w:cs="楷体"/>
          <w:color w:val="0070C0"/>
        </w:rPr>
        <w:fldChar w:fldCharType="begin"/>
      </w:r>
      <w:r>
        <w:rPr>
          <w:rFonts w:hint="eastAsia" w:ascii="楷体" w:hAnsi="楷体" w:eastAsia="楷体" w:cs="楷体"/>
          <w:color w:val="0070C0"/>
        </w:rPr>
        <w:instrText xml:space="preserve"> HYPERLINK "http://ssfb86.com/index/News/detail/newsid/8368.html" </w:instrText>
      </w:r>
      <w:r>
        <w:rPr>
          <w:rFonts w:hint="eastAsia" w:ascii="楷体" w:hAnsi="楷体" w:eastAsia="楷体" w:cs="楷体"/>
          <w:color w:val="0070C0"/>
        </w:rPr>
        <w:fldChar w:fldCharType="separate"/>
      </w:r>
      <w:r>
        <w:rPr>
          <w:rStyle w:val="12"/>
          <w:rFonts w:hint="eastAsia" w:ascii="楷体" w:hAnsi="楷体" w:eastAsia="楷体" w:cs="楷体"/>
          <w:color w:val="0070C0"/>
          <w:szCs w:val="24"/>
        </w:rPr>
        <w:t>中华人民共和国刑法</w:t>
      </w:r>
      <w:r>
        <w:rPr>
          <w:rStyle w:val="12"/>
          <w:rFonts w:hint="eastAsia" w:ascii="楷体" w:hAnsi="楷体" w:eastAsia="楷体" w:cs="楷体"/>
          <w:color w:val="0070C0"/>
          <w:szCs w:val="24"/>
        </w:rPr>
        <w:fldChar w:fldCharType="end"/>
      </w:r>
      <w:r>
        <w:rPr>
          <w:rFonts w:hint="eastAsia" w:ascii="楷体" w:hAnsi="楷体" w:eastAsia="楷体" w:cs="楷体"/>
          <w:color w:val="0070C0"/>
          <w:szCs w:val="24"/>
        </w:rPr>
        <w:t>》第二百零四条、《最高人民法院关于审理骗取出口退税刑事案件具体应用法律若干问题的解释》（</w:t>
      </w:r>
      <w:r>
        <w:rPr>
          <w:rFonts w:hint="eastAsia" w:ascii="楷体" w:hAnsi="楷体" w:eastAsia="楷体" w:cs="楷体"/>
          <w:color w:val="0070C0"/>
        </w:rPr>
        <w:fldChar w:fldCharType="begin"/>
      </w:r>
      <w:r>
        <w:rPr>
          <w:rFonts w:hint="eastAsia" w:ascii="楷体" w:hAnsi="楷体" w:eastAsia="楷体" w:cs="楷体"/>
          <w:color w:val="0070C0"/>
        </w:rPr>
        <w:instrText xml:space="preserve"> HYPERLINK "http://ssfb86.com/index/News/detail/newsid/4009.html" </w:instrText>
      </w:r>
      <w:r>
        <w:rPr>
          <w:rFonts w:hint="eastAsia" w:ascii="楷体" w:hAnsi="楷体" w:eastAsia="楷体" w:cs="楷体"/>
          <w:color w:val="0070C0"/>
        </w:rPr>
        <w:fldChar w:fldCharType="separate"/>
      </w:r>
      <w:r>
        <w:rPr>
          <w:rStyle w:val="12"/>
          <w:rFonts w:hint="eastAsia" w:ascii="楷体" w:hAnsi="楷体" w:eastAsia="楷体" w:cs="楷体"/>
          <w:color w:val="0070C0"/>
          <w:szCs w:val="24"/>
        </w:rPr>
        <w:t>法释〔2002〕30号</w:t>
      </w:r>
      <w:r>
        <w:rPr>
          <w:rStyle w:val="12"/>
          <w:rFonts w:hint="eastAsia" w:ascii="楷体" w:hAnsi="楷体" w:eastAsia="楷体" w:cs="楷体"/>
          <w:color w:val="0070C0"/>
          <w:szCs w:val="24"/>
        </w:rPr>
        <w:fldChar w:fldCharType="end"/>
      </w:r>
      <w:r>
        <w:rPr>
          <w:rFonts w:hint="eastAsia" w:ascii="楷体" w:hAnsi="楷体" w:eastAsia="楷体" w:cs="楷体"/>
          <w:color w:val="0070C0"/>
          <w:szCs w:val="24"/>
        </w:rPr>
        <w:t>）第二条规定，根据《中华人民共和国限制进出境物品表》（</w:t>
      </w:r>
      <w:r>
        <w:rPr>
          <w:rFonts w:hint="eastAsia" w:ascii="楷体" w:hAnsi="楷体" w:eastAsia="楷体" w:cs="楷体"/>
          <w:color w:val="0070C0"/>
        </w:rPr>
        <w:fldChar w:fldCharType="begin"/>
      </w:r>
      <w:r>
        <w:rPr>
          <w:rFonts w:hint="eastAsia" w:ascii="楷体" w:hAnsi="楷体" w:eastAsia="楷体" w:cs="楷体"/>
          <w:color w:val="0070C0"/>
        </w:rPr>
        <w:instrText xml:space="preserve"> HYPERLINK "http://ssfb86.com/index/News/detail/newsid/10053.html" </w:instrText>
      </w:r>
      <w:r>
        <w:rPr>
          <w:rFonts w:hint="eastAsia" w:ascii="楷体" w:hAnsi="楷体" w:eastAsia="楷体" w:cs="楷体"/>
          <w:color w:val="0070C0"/>
        </w:rPr>
        <w:fldChar w:fldCharType="separate"/>
      </w:r>
      <w:r>
        <w:rPr>
          <w:rStyle w:val="12"/>
          <w:rFonts w:hint="eastAsia" w:ascii="楷体" w:hAnsi="楷体" w:eastAsia="楷体" w:cs="楷体"/>
          <w:color w:val="0070C0"/>
          <w:szCs w:val="24"/>
        </w:rPr>
        <w:t>海关总署令第43号</w:t>
      </w:r>
      <w:r>
        <w:rPr>
          <w:rStyle w:val="12"/>
          <w:rFonts w:hint="eastAsia" w:ascii="楷体" w:hAnsi="楷体" w:eastAsia="楷体" w:cs="楷体"/>
          <w:color w:val="0070C0"/>
          <w:szCs w:val="24"/>
        </w:rPr>
        <w:fldChar w:fldCharType="end"/>
      </w:r>
      <w:r>
        <w:rPr>
          <w:rFonts w:hint="eastAsia" w:ascii="楷体" w:hAnsi="楷体" w:eastAsia="楷体" w:cs="楷体"/>
          <w:color w:val="0070C0"/>
          <w:szCs w:val="24"/>
        </w:rPr>
        <w:t>）第三条规定，白银属于国家限制出境物品，不符合出口退税政策，c公司伪装“高性能导线”出口白银，属于以虚构出口货物品名的手段取出口退税的行为。</w:t>
      </w:r>
    </w:p>
    <w:p>
      <w:pPr>
        <w:spacing w:beforeLines="50" w:beforeAutospacing="0" w:afterLines="50" w:afterAutospacing="0" w:line="360" w:lineRule="auto"/>
        <w:ind w:firstLine="480" w:firstLineChars="200"/>
        <w:rPr>
          <w:rFonts w:hint="eastAsia" w:ascii="楷体" w:hAnsi="楷体" w:eastAsia="楷体" w:cs="楷体"/>
          <w:color w:val="0070C0"/>
        </w:rPr>
      </w:pPr>
      <w:r>
        <w:rPr>
          <w:rFonts w:hint="eastAsia" w:ascii="楷体" w:hAnsi="楷体" w:eastAsia="楷体" w:cs="楷体"/>
          <w:color w:val="0070C0"/>
          <w:szCs w:val="24"/>
          <w:lang w:eastAsia="zh-CN"/>
        </w:rPr>
        <w:t>三、</w:t>
      </w:r>
      <w:r>
        <w:rPr>
          <w:rFonts w:hint="eastAsia" w:ascii="楷体" w:hAnsi="楷体" w:eastAsia="楷体" w:cs="楷体"/>
          <w:color w:val="0070C0"/>
          <w:szCs w:val="24"/>
        </w:rPr>
        <w:t>根据《财政部国家税务总局关于出口货物劳务增值税和消费税政策的通知》（</w:t>
      </w:r>
      <w:r>
        <w:rPr>
          <w:rFonts w:hint="eastAsia" w:ascii="楷体" w:hAnsi="楷体" w:eastAsia="楷体" w:cs="楷体"/>
          <w:color w:val="0070C0"/>
        </w:rPr>
        <w:fldChar w:fldCharType="begin"/>
      </w:r>
      <w:r>
        <w:rPr>
          <w:rFonts w:hint="eastAsia" w:ascii="楷体" w:hAnsi="楷体" w:eastAsia="楷体" w:cs="楷体"/>
          <w:color w:val="0070C0"/>
        </w:rPr>
        <w:instrText xml:space="preserve"> HYPERLINK "http://ssfb86.com/index/News/detail/newsid/1559.html" </w:instrText>
      </w:r>
      <w:r>
        <w:rPr>
          <w:rFonts w:hint="eastAsia" w:ascii="楷体" w:hAnsi="楷体" w:eastAsia="楷体" w:cs="楷体"/>
          <w:color w:val="0070C0"/>
        </w:rPr>
        <w:fldChar w:fldCharType="separate"/>
      </w:r>
      <w:r>
        <w:rPr>
          <w:rStyle w:val="12"/>
          <w:rFonts w:hint="eastAsia" w:ascii="楷体" w:hAnsi="楷体" w:eastAsia="楷体" w:cs="楷体"/>
          <w:color w:val="0070C0"/>
          <w:szCs w:val="24"/>
        </w:rPr>
        <w:t>财税〔2012〕39号</w:t>
      </w:r>
      <w:r>
        <w:rPr>
          <w:rStyle w:val="12"/>
          <w:rFonts w:hint="eastAsia" w:ascii="楷体" w:hAnsi="楷体" w:eastAsia="楷体" w:cs="楷体"/>
          <w:color w:val="0070C0"/>
          <w:szCs w:val="24"/>
        </w:rPr>
        <w:fldChar w:fldCharType="end"/>
      </w:r>
      <w:r>
        <w:rPr>
          <w:rFonts w:hint="eastAsia" w:ascii="楷体" w:hAnsi="楷体" w:eastAsia="楷体" w:cs="楷体"/>
          <w:color w:val="0070C0"/>
          <w:szCs w:val="24"/>
        </w:rPr>
        <w:t>）第七条第（一）项规定，出口企业出口或视同出口财政部和国家税务总局根据国务院决定明确的取消出口退（免）税的货物（不包括来料加工复出口货物、中标机电产品、列名原材料、输入特殊区域的水电气、海洋工程结构物），适用增值税征税政策。根据《财政部国家税务总局关于以贵金属和宝石为主要原材料的货物出口退税政策的通知》（</w:t>
      </w:r>
      <w:r>
        <w:rPr>
          <w:rFonts w:hint="eastAsia" w:ascii="楷体" w:hAnsi="楷体" w:eastAsia="楷体" w:cs="楷体"/>
          <w:color w:val="0070C0"/>
        </w:rPr>
        <w:fldChar w:fldCharType="begin"/>
      </w:r>
      <w:r>
        <w:rPr>
          <w:rFonts w:hint="eastAsia" w:ascii="楷体" w:hAnsi="楷体" w:eastAsia="楷体" w:cs="楷体"/>
          <w:color w:val="0070C0"/>
        </w:rPr>
        <w:instrText xml:space="preserve"> HYPERLINK "http://ssfb86.com/index/News/detail/newsid/1094.html" </w:instrText>
      </w:r>
      <w:r>
        <w:rPr>
          <w:rFonts w:hint="eastAsia" w:ascii="楷体" w:hAnsi="楷体" w:eastAsia="楷体" w:cs="楷体"/>
          <w:color w:val="0070C0"/>
        </w:rPr>
        <w:fldChar w:fldCharType="separate"/>
      </w:r>
      <w:r>
        <w:rPr>
          <w:rStyle w:val="12"/>
          <w:rFonts w:hint="eastAsia" w:ascii="楷体" w:hAnsi="楷体" w:eastAsia="楷体" w:cs="楷体"/>
          <w:color w:val="0070C0"/>
          <w:szCs w:val="24"/>
        </w:rPr>
        <w:t>财税〔2014）98号</w:t>
      </w:r>
      <w:r>
        <w:rPr>
          <w:rStyle w:val="12"/>
          <w:rFonts w:hint="eastAsia" w:ascii="楷体" w:hAnsi="楷体" w:eastAsia="楷体" w:cs="楷体"/>
          <w:color w:val="0070C0"/>
          <w:szCs w:val="24"/>
        </w:rPr>
        <w:fldChar w:fldCharType="end"/>
      </w:r>
      <w:r>
        <w:rPr>
          <w:rFonts w:hint="eastAsia" w:ascii="楷体" w:hAnsi="楷体" w:eastAsia="楷体" w:cs="楷体"/>
          <w:color w:val="0070C0"/>
          <w:szCs w:val="24"/>
        </w:rPr>
        <w:t>）第一条规定，出口企业和其他单位出口的货物，如果其原材料成本80％以上为该通知附件所列原材料的，应按照成本占比最高的原材料的增值税、消费税政策执行。本案中，根据广东省出入境检验检疫局出具的检测报告，该“高性能导线”中纯银价值占比远远超过80％的标准，应当适用销售白银的增值税政策，对其视同内销征收增值税。</w:t>
      </w:r>
    </w:p>
    <w:p>
      <w:pPr>
        <w:spacing w:beforeLines="50" w:beforeAutospacing="0" w:afterLines="50" w:afterAutospacing="0" w:line="360" w:lineRule="auto"/>
        <w:ind w:firstLine="480" w:firstLineChars="200"/>
        <w:rPr>
          <w:rFonts w:hint="eastAsia" w:ascii="楷体" w:hAnsi="楷体" w:eastAsia="楷体" w:cs="楷体"/>
          <w:color w:val="0070C0"/>
          <w:szCs w:val="24"/>
          <w:lang w:eastAsia="zh-CN"/>
        </w:rPr>
      </w:pPr>
      <w:bookmarkStart w:id="0" w:name="_GoBack"/>
      <w:bookmarkEnd w:id="0"/>
    </w:p>
    <w:p>
      <w:pPr>
        <w:spacing w:beforeLines="50" w:beforeAutospacing="0" w:afterLines="50" w:afterAutospacing="0" w:line="360" w:lineRule="auto"/>
        <w:jc w:val="left"/>
        <w:rPr>
          <w:rFonts w:hint="eastAsia" w:ascii="宋体" w:hAnsi="宋体" w:eastAsia="宋体"/>
          <w:kern w:val="0"/>
        </w:rPr>
      </w:pPr>
    </w:p>
    <w:p>
      <w:pPr>
        <w:spacing w:beforeLines="50" w:beforeAutospacing="0" w:afterLines="50" w:afterAutospacing="0" w:line="360" w:lineRule="auto"/>
        <w:ind w:firstLine="883" w:firstLineChars="200"/>
        <w:jc w:val="center"/>
        <w:rPr>
          <w:rFonts w:ascii="宋体" w:hAnsi="宋体" w:eastAsia="宋体"/>
          <w:b/>
          <w:bCs/>
          <w:color w:val="E36C09" w:themeColor="accent6" w:themeShade="BF"/>
          <w:sz w:val="44"/>
          <w:szCs w:val="44"/>
        </w:rPr>
      </w:pPr>
      <w:r>
        <w:rPr>
          <w:rFonts w:hint="eastAsia" w:ascii="宋体" w:hAnsi="宋体" w:eastAsia="宋体"/>
          <w:b/>
          <w:bCs/>
          <w:color w:val="E36C09" w:themeColor="accent6" w:themeShade="BF"/>
          <w:sz w:val="44"/>
          <w:szCs w:val="44"/>
        </w:rPr>
        <w:t>广州C贸易有限公司骗取出口退税案</w:t>
      </w:r>
    </w:p>
    <w:p>
      <w:pPr>
        <w:spacing w:beforeLines="50" w:beforeAutospacing="0" w:afterLines="50" w:afterAutospacing="0" w:line="360" w:lineRule="auto"/>
        <w:ind w:firstLine="480" w:firstLineChars="200"/>
        <w:rPr>
          <w:rFonts w:ascii="宋体" w:hAnsi="宋体" w:eastAsia="宋体"/>
          <w:szCs w:val="24"/>
        </w:rPr>
      </w:pPr>
    </w:p>
    <w:p>
      <w:pPr>
        <w:spacing w:beforeLines="50" w:beforeAutospacing="0" w:afterLines="50" w:afterAutospacing="0" w:line="360" w:lineRule="auto"/>
        <w:ind w:firstLine="480" w:firstLineChars="200"/>
        <w:jc w:val="center"/>
        <w:rPr>
          <w:rFonts w:ascii="宋体" w:hAnsi="宋体" w:eastAsia="宋体"/>
          <w:szCs w:val="24"/>
        </w:rPr>
      </w:pPr>
      <w:r>
        <w:rPr>
          <w:rFonts w:hint="eastAsia" w:ascii="宋体" w:hAnsi="宋体" w:eastAsia="宋体"/>
          <w:szCs w:val="24"/>
        </w:rPr>
        <w:t>——</w:t>
      </w:r>
      <w:r>
        <w:fldChar w:fldCharType="begin"/>
      </w:r>
      <w:r>
        <w:instrText xml:space="preserve"> HYPERLINK "http://ssfb86.com/index/News/detail/newsid/10091.html" </w:instrText>
      </w:r>
      <w:r>
        <w:fldChar w:fldCharType="separate"/>
      </w:r>
      <w:r>
        <w:rPr>
          <w:rStyle w:val="12"/>
          <w:rFonts w:hint="eastAsia" w:ascii="宋体" w:hAnsi="宋体" w:eastAsia="宋体"/>
          <w:szCs w:val="24"/>
        </w:rPr>
        <w:t>税警协作突破境外取证难题</w:t>
      </w:r>
      <w:r>
        <w:rPr>
          <w:rStyle w:val="12"/>
          <w:rFonts w:hint="eastAsia" w:ascii="宋体" w:hAnsi="宋体" w:eastAsia="宋体"/>
          <w:szCs w:val="24"/>
        </w:rPr>
        <w:fldChar w:fldCharType="end"/>
      </w:r>
    </w:p>
    <w:p>
      <w:pPr>
        <w:spacing w:beforeLines="50" w:beforeAutospacing="0" w:afterLines="50" w:afterAutospacing="0" w:line="360" w:lineRule="auto"/>
        <w:ind w:firstLine="480" w:firstLineChars="200"/>
        <w:rPr>
          <w:rFonts w:ascii="宋体" w:hAnsi="宋体" w:eastAsia="宋体"/>
          <w:szCs w:val="24"/>
        </w:rPr>
      </w:pP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w:t>
      </w:r>
      <w:r>
        <w:rPr>
          <w:rFonts w:hint="eastAsia" w:ascii="宋体" w:hAnsi="宋体" w:eastAsia="宋体"/>
          <w:b/>
          <w:bCs/>
          <w:szCs w:val="24"/>
        </w:rPr>
        <w:t>关键词〕</w:t>
      </w:r>
      <w:r>
        <w:rPr>
          <w:rFonts w:hint="eastAsia" w:ascii="宋体" w:hAnsi="宋体" w:eastAsia="宋体"/>
          <w:szCs w:val="24"/>
        </w:rPr>
        <w:t>出口骗税 跨区域协作 第三方鉴定</w:t>
      </w:r>
    </w:p>
    <w:p>
      <w:pPr>
        <w:spacing w:beforeLines="50" w:beforeAutospacing="0"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jc w:val="center"/>
        <w:rPr>
          <w:rFonts w:ascii="宋体" w:hAnsi="宋体" w:eastAsia="宋体"/>
          <w:sz w:val="24"/>
          <w:szCs w:val="24"/>
        </w:rPr>
      </w:pPr>
      <w:r>
        <w:rPr>
          <w:rFonts w:hint="eastAsia" w:ascii="宋体" w:hAnsi="宋体" w:eastAsia="宋体"/>
          <w:sz w:val="24"/>
          <w:szCs w:val="24"/>
        </w:rPr>
        <w:t>基本案情</w:t>
      </w:r>
    </w:p>
    <w:p>
      <w:pPr>
        <w:spacing w:beforeLines="50" w:beforeAutospacing="0" w:afterLines="50" w:afterAutospacing="0" w:line="360" w:lineRule="auto"/>
        <w:ind w:firstLine="480" w:firstLineChars="200"/>
        <w:rPr>
          <w:rFonts w:ascii="宋体" w:hAnsi="宋体" w:eastAsia="宋体"/>
          <w:szCs w:val="24"/>
        </w:rPr>
      </w:pP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一、检查过程</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（一）部门联动，发现新案件，</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2016年，根据税务总局、公安都、海关总署、人民银行四部委关于打击虚开骗税违法犯罪工作的统一部署，广州市国家税务局南区稽查局与多地税务稽查部门紧密协作，发现以杨某为首的犯罪团伙在境内外设立多家公司，签订虚假合同，将白银伪装成“高性能导线”申报出口，骗取2300余万元出口退税款。</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（二）跨区协作，直面新挑战</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接到案源线索后，检查人员通过金税三期核心征管系统对杨某团伙控制的广州C贸易有限公司（以下简称C公司）的基本情况进行全面摸查，发现C公司的供货企业、出口目的地、境外客户及出口货物均比较单一。2016年10月26日，广州市国家税务局南区稽查局与广东汕头市、湖南耒阳市、湖南</w:t>
      </w:r>
      <w:r>
        <w:rPr>
          <w:rFonts w:hint="eastAsia" w:ascii="宋体" w:hAnsi="宋体" w:eastAsia="宋体"/>
          <w:szCs w:val="24"/>
          <w:lang w:eastAsia="zh-CN"/>
        </w:rPr>
        <w:t>衡</w:t>
      </w:r>
      <w:r>
        <w:rPr>
          <w:rFonts w:hint="eastAsia" w:ascii="宋体" w:hAnsi="宋体" w:eastAsia="宋体"/>
          <w:szCs w:val="24"/>
        </w:rPr>
        <w:t>阳市衡南县等地的国家税务局稽查部门以及公安经侦部门开展联合行动，同时对杨某团伙控制的4户涉案企业（C公司及其上下游公司）进行突击检查。</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检查人员检查了货物运输代理公司并到白云机场海关实地检查，发现C公司存在真实货物出口，购货、报关、结汇等环节正常。检查人员分析认为，如按照常规检查思路，从报关信息入手查找真实货主，进而认定C公司骗取出口退税可能行不通，需要根据本案特点寻找新的查办思路。</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（三）锁定疑点，打开新思路</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正当检查陷入困境时，检查人员通过互联网信息检索得知，c公司曾因出口货物归类错误受到广州海关行政处罚。经进一步了解，海关部门内部对C公司出口货物是否应归入商品编码为85441000的"“高性能导线”有不同认识。检查人员分析认为，C公司可能混淆商品代码，将不予退税商品按退税商品申报出口。检查人员迅速调整检查思路，重点核查出口货物的真实属性、原材料成本占比、实际用途，以及是否符合退税条件等事项。</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color w:val="943734" w:themeColor="accent2" w:themeShade="BF"/>
          <w:szCs w:val="24"/>
        </w:rPr>
        <w:t>由于货物已出口离境，难以查找。检查人员从上游生产企业着手，赴湖南对C公司上游衡阳Y公司、来阳s公司两户企业进行外调取证，获知这两家公司仅生产一种型号规格的“高性能导线”。这种“高性能导线”由“国标一号银"和PVC材料简单加工而成。检查人员根据公司会计账簿资料，核算出这种导线的白银成本平均占比高达97%以上</w:t>
      </w:r>
      <w:r>
        <w:rPr>
          <w:rFonts w:hint="eastAsia" w:ascii="宋体" w:hAnsi="宋体" w:eastAsia="宋体"/>
          <w:szCs w:val="24"/>
        </w:rPr>
        <w:t>。</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color w:val="943734" w:themeColor="accent2" w:themeShade="BF"/>
          <w:szCs w:val="24"/>
        </w:rPr>
        <w:t>检查人员迅速向C公司调取“高性能导线”样品，送广东省出入境检验检疫局进行检测。经检测，这种“高性能导线”的含银纯度高达99.3%。通过询问相关人员，检查人员确定该样品就是衡阳Y公司、耒阳s公司生产的产品</w:t>
      </w:r>
      <w:r>
        <w:rPr>
          <w:rFonts w:hint="eastAsia" w:ascii="宋体" w:hAnsi="宋体" w:eastAsia="宋体"/>
          <w:szCs w:val="24"/>
        </w:rPr>
        <w:t>。</w:t>
      </w:r>
    </w:p>
    <w:p>
      <w:pPr>
        <w:pStyle w:val="4"/>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（四）税警合作，实现新突破</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税务部门调查取得重大突破的同时，公安部门的侦查也传来佳音，以杨某为首的犯罪团伙成员相继落网。尤其是负责在香港到去导线外皮、出售纯银的团伙成员落网，使案情进一步明晰。该成员对犯罪团伙将白银简单加工伪装成“高性能导线”，混淆商品编码报关出口骗取出口退税的事实供认不讳。公安经侦部门从香港调取涉案公司的相关购销合同、资金流水及有关人员证词，进一步证实C公司出口的“高性能导线”没有任何实际用途。至此，通过两省四地税务机关和公安机关不懈努力，终于掌握了以杨某为首的犯罪团伙骗取出口退税的确凿证据。</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二、案件事实</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经查明，本案的主要事实如下：</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color w:val="943734" w:themeColor="accent2" w:themeShade="BF"/>
          <w:szCs w:val="24"/>
        </w:rPr>
        <w:t>2014——2016年，c公司及其上下游企业联合，将白银简单加工伪装成"高性能导线"，其中纯银价值占比达97%以上，并签订虚假出口合同，混淆商品编码将“高性能导线”报关出口，骗取出口退税</w:t>
      </w:r>
      <w:r>
        <w:rPr>
          <w:rFonts w:hint="eastAsia" w:ascii="宋体" w:hAnsi="宋体" w:eastAsia="宋体"/>
          <w:szCs w:val="24"/>
        </w:rPr>
        <w:t>。</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三、处理结果</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经审理，税务机关作出如下决定：</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1、对C公司的违法行为认定为以欺骗手段骗取出口退税，追缴已退税款1554.2万元，对未退税款756.28万元不予退税；对C公司出口的“高性能导线"视同内销征收增值税。</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2、C公司骗取出口退税的行为涉嫌犯罪，移送公安机关依法追究其刑事责任。</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经判决，法院以虚开增值税专用发票罪、骗取出口退税罪追究杨某等5人以及C公司等4家公司刑事责任，共判处罚金人民币7200余万元，没收违法所得200余万元，对杨某等5人处以一年六个月至十六年不等的有期徒刑。</w:t>
      </w:r>
    </w:p>
    <w:p>
      <w:pPr>
        <w:spacing w:beforeLines="50" w:beforeAutospacing="0"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jc w:val="center"/>
        <w:rPr>
          <w:rFonts w:ascii="宋体" w:hAnsi="宋体" w:eastAsia="宋体"/>
          <w:sz w:val="24"/>
          <w:szCs w:val="24"/>
        </w:rPr>
      </w:pPr>
      <w:r>
        <w:rPr>
          <w:rFonts w:hint="eastAsia" w:ascii="宋体" w:hAnsi="宋体" w:eastAsia="宋体"/>
          <w:sz w:val="24"/>
          <w:szCs w:val="24"/>
        </w:rPr>
        <w:t>案件疑难</w:t>
      </w:r>
    </w:p>
    <w:p>
      <w:pPr>
        <w:spacing w:beforeLines="50" w:beforeAutospacing="0" w:afterLines="50" w:afterAutospacing="0" w:line="360" w:lineRule="auto"/>
        <w:ind w:firstLine="480" w:firstLineChars="200"/>
        <w:rPr>
          <w:rFonts w:ascii="宋体" w:hAnsi="宋体" w:eastAsia="宋体"/>
          <w:szCs w:val="24"/>
        </w:rPr>
      </w:pP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一、关于认定C公司以欺骗手段骗取出口退税问题</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color w:val="943734" w:themeColor="accent2" w:themeShade="BF"/>
          <w:szCs w:val="24"/>
        </w:rPr>
        <w:t>对骗税手段的认定是查办骗取出口退税案件的关键环节。本案中，c公司名义上出口的是“高性能导线”，但因其中纯银价值占比达97%以上，实际上出口的是白银。参照《</w:t>
      </w:r>
      <w:r>
        <w:fldChar w:fldCharType="begin"/>
      </w:r>
      <w:r>
        <w:instrText xml:space="preserve"> HYPERLINK "http://ssfb86.com/index/News/detail/newsid/8368.html" </w:instrText>
      </w:r>
      <w:r>
        <w:fldChar w:fldCharType="separate"/>
      </w:r>
      <w:r>
        <w:rPr>
          <w:rStyle w:val="12"/>
          <w:rFonts w:hint="eastAsia" w:ascii="宋体" w:hAnsi="宋体" w:eastAsia="宋体"/>
          <w:color w:val="943734" w:themeColor="accent2" w:themeShade="BF"/>
          <w:szCs w:val="24"/>
        </w:rPr>
        <w:t>中华人民共和国刑法</w:t>
      </w:r>
      <w:r>
        <w:rPr>
          <w:rStyle w:val="12"/>
          <w:rFonts w:hint="eastAsia" w:ascii="宋体" w:hAnsi="宋体" w:eastAsia="宋体"/>
          <w:color w:val="943734" w:themeColor="accent2" w:themeShade="BF"/>
          <w:szCs w:val="24"/>
        </w:rPr>
        <w:fldChar w:fldCharType="end"/>
      </w:r>
      <w:r>
        <w:rPr>
          <w:rFonts w:hint="eastAsia" w:ascii="宋体" w:hAnsi="宋体" w:eastAsia="宋体"/>
          <w:color w:val="943734" w:themeColor="accent2" w:themeShade="BF"/>
          <w:szCs w:val="24"/>
        </w:rPr>
        <w:t>》第二百零四条、《最高人民法院关于审理骗取出口退税刑事案件具体应用法律若干问题的解释》（</w:t>
      </w:r>
      <w:r>
        <w:fldChar w:fldCharType="begin"/>
      </w:r>
      <w:r>
        <w:instrText xml:space="preserve"> HYPERLINK "http://ssfb86.com/index/News/detail/newsid/4009.html" </w:instrText>
      </w:r>
      <w:r>
        <w:fldChar w:fldCharType="separate"/>
      </w:r>
      <w:r>
        <w:rPr>
          <w:rStyle w:val="12"/>
          <w:rFonts w:hint="eastAsia" w:ascii="宋体" w:hAnsi="宋体" w:eastAsia="宋体"/>
          <w:color w:val="943734" w:themeColor="accent2" w:themeShade="BF"/>
          <w:szCs w:val="24"/>
        </w:rPr>
        <w:t>法释〔2002〕30号</w:t>
      </w:r>
      <w:r>
        <w:rPr>
          <w:rStyle w:val="12"/>
          <w:rFonts w:hint="eastAsia" w:ascii="宋体" w:hAnsi="宋体" w:eastAsia="宋体"/>
          <w:color w:val="943734" w:themeColor="accent2" w:themeShade="BF"/>
          <w:szCs w:val="24"/>
        </w:rPr>
        <w:fldChar w:fldCharType="end"/>
      </w:r>
      <w:r>
        <w:rPr>
          <w:rFonts w:hint="eastAsia" w:ascii="宋体" w:hAnsi="宋体" w:eastAsia="宋体"/>
          <w:color w:val="943734" w:themeColor="accent2" w:themeShade="BF"/>
          <w:szCs w:val="24"/>
        </w:rPr>
        <w:t>）第二条规定，根据《中华人民共和国限制进出境物品表》（</w:t>
      </w:r>
      <w:r>
        <w:fldChar w:fldCharType="begin"/>
      </w:r>
      <w:r>
        <w:instrText xml:space="preserve"> HYPERLINK "http://ssfb86.com/index/News/detail/newsid/10053.html" </w:instrText>
      </w:r>
      <w:r>
        <w:fldChar w:fldCharType="separate"/>
      </w:r>
      <w:r>
        <w:rPr>
          <w:rStyle w:val="12"/>
          <w:rFonts w:hint="eastAsia" w:ascii="宋体" w:hAnsi="宋体" w:eastAsia="宋体"/>
          <w:color w:val="943734" w:themeColor="accent2" w:themeShade="BF"/>
          <w:szCs w:val="24"/>
        </w:rPr>
        <w:t>海关总署令第43号</w:t>
      </w:r>
      <w:r>
        <w:rPr>
          <w:rStyle w:val="12"/>
          <w:rFonts w:hint="eastAsia" w:ascii="宋体" w:hAnsi="宋体" w:eastAsia="宋体"/>
          <w:color w:val="943734" w:themeColor="accent2" w:themeShade="BF"/>
          <w:szCs w:val="24"/>
        </w:rPr>
        <w:fldChar w:fldCharType="end"/>
      </w:r>
      <w:r>
        <w:rPr>
          <w:rFonts w:hint="eastAsia" w:ascii="宋体" w:hAnsi="宋体" w:eastAsia="宋体"/>
          <w:color w:val="943734" w:themeColor="accent2" w:themeShade="BF"/>
          <w:szCs w:val="24"/>
        </w:rPr>
        <w:t>）第三条规定，白银属于国家限制出境物品，不符合出口退税政策，c公司伪装“高性能导线”出口白银，属于以虚构出口货物品名的手段取出口退税的行为</w:t>
      </w:r>
      <w:r>
        <w:rPr>
          <w:rFonts w:hint="eastAsia" w:ascii="宋体" w:hAnsi="宋体" w:eastAsia="宋体"/>
          <w:szCs w:val="24"/>
        </w:rPr>
        <w:t>。</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二、关于对出口货物“视同内销”征税问题</w:t>
      </w:r>
    </w:p>
    <w:p>
      <w:pPr>
        <w:spacing w:beforeLines="50" w:beforeAutospacing="0" w:afterLines="50" w:afterAutospacing="0" w:line="360" w:lineRule="auto"/>
        <w:ind w:firstLine="480" w:firstLineChars="200"/>
        <w:rPr>
          <w:rFonts w:ascii="宋体" w:hAnsi="宋体" w:eastAsia="宋体"/>
          <w:color w:val="953735" w:themeColor="accent2" w:themeShade="BF"/>
          <w:szCs w:val="24"/>
        </w:rPr>
      </w:pPr>
      <w:r>
        <w:rPr>
          <w:rFonts w:hint="eastAsia" w:ascii="宋体" w:hAnsi="宋体" w:eastAsia="宋体"/>
          <w:szCs w:val="24"/>
        </w:rPr>
        <w:t>对以骗取出口退税为目的的出口货物，是否需要“视同内销”征税，是骗取出口退税案件查办过程中需要考虑的重要方面。</w:t>
      </w:r>
      <w:r>
        <w:rPr>
          <w:rFonts w:hint="eastAsia" w:ascii="宋体" w:hAnsi="宋体" w:eastAsia="宋体"/>
          <w:color w:val="953735" w:themeColor="accent2" w:themeShade="BF"/>
          <w:szCs w:val="24"/>
        </w:rPr>
        <w:t>根据《财政部国家税务总局关于出口货物劳务增值税和消费税政策的通知》（</w:t>
      </w:r>
      <w:r>
        <w:rPr>
          <w:color w:val="953735" w:themeColor="accent2" w:themeShade="BF"/>
        </w:rPr>
        <w:fldChar w:fldCharType="begin"/>
      </w:r>
      <w:r>
        <w:rPr>
          <w:color w:val="953735" w:themeColor="accent2" w:themeShade="BF"/>
        </w:rPr>
        <w:instrText xml:space="preserve"> HYPERLINK "http://ssfb86.com/index/News/detail/newsid/1559.html" </w:instrText>
      </w:r>
      <w:r>
        <w:rPr>
          <w:color w:val="953735" w:themeColor="accent2" w:themeShade="BF"/>
        </w:rPr>
        <w:fldChar w:fldCharType="separate"/>
      </w:r>
      <w:r>
        <w:rPr>
          <w:rStyle w:val="12"/>
          <w:rFonts w:hint="eastAsia" w:ascii="宋体" w:hAnsi="宋体" w:eastAsia="宋体"/>
          <w:color w:val="953735" w:themeColor="accent2" w:themeShade="BF"/>
          <w:szCs w:val="24"/>
        </w:rPr>
        <w:t>财税〔2012〕39号</w:t>
      </w:r>
      <w:r>
        <w:rPr>
          <w:rStyle w:val="12"/>
          <w:rFonts w:hint="eastAsia" w:ascii="宋体" w:hAnsi="宋体" w:eastAsia="宋体"/>
          <w:color w:val="953735" w:themeColor="accent2" w:themeShade="BF"/>
          <w:szCs w:val="24"/>
        </w:rPr>
        <w:fldChar w:fldCharType="end"/>
      </w:r>
      <w:r>
        <w:rPr>
          <w:rFonts w:hint="eastAsia" w:ascii="宋体" w:hAnsi="宋体" w:eastAsia="宋体"/>
          <w:color w:val="953735" w:themeColor="accent2" w:themeShade="BF"/>
          <w:szCs w:val="24"/>
        </w:rPr>
        <w:t>）第七条第（一）项规定，出口企业出口或视同出口财政部和国家税务总局根据国务院决定明确的取消出口退（免）税的货物（不包括来料加工复出口货物、中标机电产品、列名原材料、输入特殊区域的水电气、海洋工程结构物），适用增值税征税政策。根据《财政部国家税务总局关于以贵金属和宝石为主要原材料的货物出口退税政策的通知》（</w:t>
      </w:r>
      <w:r>
        <w:rPr>
          <w:color w:val="953735" w:themeColor="accent2" w:themeShade="BF"/>
        </w:rPr>
        <w:fldChar w:fldCharType="begin"/>
      </w:r>
      <w:r>
        <w:rPr>
          <w:color w:val="953735" w:themeColor="accent2" w:themeShade="BF"/>
        </w:rPr>
        <w:instrText xml:space="preserve"> HYPERLINK "http://ssfb86.com/index/News/detail/newsid/1094.html" </w:instrText>
      </w:r>
      <w:r>
        <w:rPr>
          <w:color w:val="953735" w:themeColor="accent2" w:themeShade="BF"/>
        </w:rPr>
        <w:fldChar w:fldCharType="separate"/>
      </w:r>
      <w:r>
        <w:rPr>
          <w:rStyle w:val="12"/>
          <w:rFonts w:hint="eastAsia" w:ascii="宋体" w:hAnsi="宋体" w:eastAsia="宋体"/>
          <w:color w:val="953735" w:themeColor="accent2" w:themeShade="BF"/>
          <w:szCs w:val="24"/>
        </w:rPr>
        <w:t>财税〔2014）98号</w:t>
      </w:r>
      <w:r>
        <w:rPr>
          <w:rStyle w:val="12"/>
          <w:rFonts w:hint="eastAsia" w:ascii="宋体" w:hAnsi="宋体" w:eastAsia="宋体"/>
          <w:color w:val="953735" w:themeColor="accent2" w:themeShade="BF"/>
          <w:szCs w:val="24"/>
        </w:rPr>
        <w:fldChar w:fldCharType="end"/>
      </w:r>
      <w:r>
        <w:rPr>
          <w:rFonts w:hint="eastAsia" w:ascii="宋体" w:hAnsi="宋体" w:eastAsia="宋体"/>
          <w:color w:val="953735" w:themeColor="accent2" w:themeShade="BF"/>
          <w:szCs w:val="24"/>
        </w:rPr>
        <w:t>）第一条规定，出口企业和其他单位出口的货物，如果其原材料成本80％以上为该通知附件所列原材料的，应按照成本占比最高的原材料的增值税、消费税政策执行。本案中，根据广东省出入境检验检疫局出具的检测报告，该“高性能导线”中纯银价值占比远远超过80％的标准，应当适用销售白银的增值税政策，对其视同内销征收增值税。</w:t>
      </w:r>
    </w:p>
    <w:p>
      <w:pPr>
        <w:spacing w:beforeLines="50" w:beforeAutospacing="0" w:afterLines="50" w:afterAutospacing="0" w:line="360" w:lineRule="auto"/>
        <w:ind w:firstLine="480" w:firstLineChars="200"/>
        <w:rPr>
          <w:rFonts w:ascii="宋体" w:hAnsi="宋体" w:eastAsia="宋体"/>
          <w:szCs w:val="24"/>
        </w:rPr>
      </w:pPr>
    </w:p>
    <w:p>
      <w:pPr>
        <w:pStyle w:val="2"/>
        <w:spacing w:before="50" w:beforeAutospacing="0" w:after="50" w:afterAutospacing="0" w:line="360" w:lineRule="auto"/>
        <w:ind w:firstLine="482" w:firstLineChars="200"/>
        <w:jc w:val="center"/>
        <w:rPr>
          <w:rFonts w:ascii="宋体" w:hAnsi="宋体" w:eastAsia="宋体"/>
          <w:sz w:val="24"/>
          <w:szCs w:val="24"/>
        </w:rPr>
      </w:pPr>
      <w:r>
        <w:rPr>
          <w:rFonts w:hint="eastAsia" w:ascii="宋体" w:hAnsi="宋体" w:eastAsia="宋体"/>
          <w:sz w:val="24"/>
          <w:szCs w:val="24"/>
        </w:rPr>
        <w:t>案例评析</w:t>
      </w:r>
    </w:p>
    <w:p>
      <w:pPr>
        <w:spacing w:beforeLines="50" w:beforeAutospacing="0" w:afterLines="50" w:afterAutospacing="0" w:line="360" w:lineRule="auto"/>
        <w:ind w:firstLine="480" w:firstLineChars="200"/>
        <w:rPr>
          <w:rFonts w:ascii="宋体" w:hAnsi="宋体" w:eastAsia="宋体"/>
          <w:szCs w:val="24"/>
        </w:rPr>
      </w:pP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是团伙化运作骗取出口退税案，调查取证涉及多个省市以及产供销等多个环节，查证难度较大。涉案企业上下游两省四地的税务稽查部门和公安经侦部门通力协作，并通过专业部门对出口物品进行检测，成功查处案件。以本案为鉴，可以得到以下启示：</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一、强化部门间信息交换快速查处骗税案件</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中，出口货物的真实属性以及是否符合退税政策是案件查处的关键，需要系统内外多部门紧密协作进行调查取证。检查人员通过加强部门之间的信息交换，综合利用公安、海关、出入境检验检疫等部门的取证信息和检测报告，快速锁定骗税违法犯罪证据，提高了案件查处效率。</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二、建立出口货物疑点信息库提高检查精准性</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中，C公司将白银加工伪装成“高性能导线”出口，具有较强的隐蔽性，反映了出口骗税违法行为的新动向。检查工作中，针对企业出口以贵金属为主要原材料的货物存在的退税风险，检查人员要注意搜集相关贵金属（宝石）可能涉及的出口货物品名，建立出口货物疑点信息库，在下一步对类似案件实施检查时，可以借此快速确定疑点信息，明确检查方向和重点。</w:t>
      </w:r>
    </w:p>
    <w:p>
      <w:pPr>
        <w:pStyle w:val="3"/>
        <w:spacing w:before="50" w:beforeAutospacing="0" w:after="50" w:afterAutospacing="0" w:line="360" w:lineRule="auto"/>
        <w:ind w:firstLine="482" w:firstLineChars="200"/>
        <w:rPr>
          <w:rFonts w:ascii="宋体" w:hAnsi="宋体" w:eastAsia="宋体"/>
          <w:sz w:val="24"/>
          <w:szCs w:val="24"/>
        </w:rPr>
      </w:pPr>
      <w:r>
        <w:rPr>
          <w:rFonts w:hint="eastAsia" w:ascii="宋体" w:hAnsi="宋体" w:eastAsia="宋体"/>
          <w:sz w:val="24"/>
          <w:szCs w:val="24"/>
        </w:rPr>
        <w:t>三、建立跨地区多部门联动查处机制</w:t>
      </w:r>
    </w:p>
    <w:p>
      <w:pPr>
        <w:spacing w:beforeLines="50" w:beforeAutospacing="0" w:afterLines="50" w:afterAutospacing="0" w:line="360" w:lineRule="auto"/>
        <w:ind w:firstLine="480" w:firstLineChars="200"/>
        <w:rPr>
          <w:rFonts w:ascii="宋体" w:hAnsi="宋体" w:eastAsia="宋体"/>
          <w:szCs w:val="24"/>
        </w:rPr>
      </w:pPr>
      <w:r>
        <w:rPr>
          <w:rFonts w:hint="eastAsia" w:ascii="宋体" w:hAnsi="宋体" w:eastAsia="宋体"/>
          <w:szCs w:val="24"/>
        </w:rPr>
        <w:t>本案中，为逃避监管，不法分子将作案各个环节进行空间隔离，将生产环节放在耒阳市、衡阳市，出口报关、退税环节放在广州市，出口目的地放在香港，指挥中心则放在汕头市。通过空间隔离，一定程度上增加了调查取证的难度。检查类似案件，立案地稽查部门要根据掌握的疑点线索，联合相关地方的稽查部门，加强与公安部门协作，开展多地多部门联合行动，提高对违法犯罪行为的打击力度和打击效果。</w:t>
      </w:r>
    </w:p>
    <w:p>
      <w:pPr>
        <w:spacing w:before="50" w:beforeAutospacing="0" w:after="50" w:afterAutospacing="0" w:line="360" w:lineRule="auto"/>
        <w:ind w:firstLine="480" w:firstLineChars="200"/>
        <w:rPr>
          <w:rFonts w:ascii="宋体" w:hAnsi="宋体" w:eastAsia="宋体"/>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780523"/>
      <w:docPartObj>
        <w:docPartGallery w:val="AutoText"/>
      </w:docPartObj>
    </w:sdtPr>
    <w:sdtContent>
      <w:sdt>
        <w:sdtPr>
          <w:id w:val="1728636285"/>
          <w:docPartObj>
            <w:docPartGallery w:val="AutoText"/>
          </w:docPartObj>
        </w:sdtPr>
        <w:sdtContent>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3AE5"/>
    <w:rsid w:val="000342A9"/>
    <w:rsid w:val="000B71D1"/>
    <w:rsid w:val="000B723E"/>
    <w:rsid w:val="00294BD5"/>
    <w:rsid w:val="00391965"/>
    <w:rsid w:val="005F2980"/>
    <w:rsid w:val="007D31A5"/>
    <w:rsid w:val="00993CBB"/>
    <w:rsid w:val="00AA586C"/>
    <w:rsid w:val="00B27792"/>
    <w:rsid w:val="00B535BA"/>
    <w:rsid w:val="00C06DFC"/>
    <w:rsid w:val="00C20252"/>
    <w:rsid w:val="00C71194"/>
    <w:rsid w:val="00CC0CE1"/>
    <w:rsid w:val="00D87FC8"/>
    <w:rsid w:val="00EA0137"/>
    <w:rsid w:val="00EE36A2"/>
    <w:rsid w:val="00F57C18"/>
    <w:rsid w:val="00F83AE5"/>
    <w:rsid w:val="00FC1795"/>
    <w:rsid w:val="60D607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12" w:lineRule="auto"/>
      <w:jc w:val="both"/>
    </w:pPr>
    <w:rPr>
      <w:rFonts w:ascii="仿宋" w:hAnsi="仿宋" w:eastAsia="仿宋" w:cstheme="minorBidi"/>
      <w:kern w:val="2"/>
      <w:sz w:val="24"/>
      <w:szCs w:val="28"/>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0"/>
    <w:semiHidden/>
    <w:unhideWhenUsed/>
    <w:uiPriority w:val="99"/>
    <w:rPr>
      <w:rFonts w:ascii="宋体" w:eastAsia="宋体"/>
      <w:sz w:val="18"/>
      <w:szCs w:val="18"/>
    </w:rPr>
  </w:style>
  <w:style w:type="paragraph" w:styleId="6">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line="240" w:lineRule="auto"/>
      <w:jc w:val="left"/>
    </w:pPr>
    <w:rPr>
      <w:rFonts w:ascii="宋体" w:hAnsi="宋体" w:eastAsia="宋体" w:cs="宋体"/>
      <w:kern w:val="0"/>
      <w:szCs w:val="24"/>
    </w:rPr>
  </w:style>
  <w:style w:type="character" w:styleId="11">
    <w:name w:val="FollowedHyperlink"/>
    <w:basedOn w:val="10"/>
    <w:semiHidden/>
    <w:unhideWhenUsed/>
    <w:uiPriority w:val="99"/>
    <w:rPr>
      <w:color w:val="800080" w:themeColor="followedHyperlink"/>
      <w:u w:val="single"/>
    </w:rPr>
  </w:style>
  <w:style w:type="character" w:styleId="12">
    <w:name w:val="Hyperlink"/>
    <w:basedOn w:val="10"/>
    <w:unhideWhenUsed/>
    <w:qFormat/>
    <w:uiPriority w:val="99"/>
    <w:rPr>
      <w:color w:val="0000FF" w:themeColor="hyperlink"/>
      <w:u w:val="single"/>
    </w:rPr>
  </w:style>
  <w:style w:type="character" w:customStyle="1" w:styleId="13">
    <w:name w:val="apple-converted-space"/>
    <w:basedOn w:val="10"/>
    <w:qFormat/>
    <w:uiPriority w:val="0"/>
  </w:style>
  <w:style w:type="character" w:customStyle="1" w:styleId="14">
    <w:name w:val="标题 1 Char"/>
    <w:basedOn w:val="10"/>
    <w:link w:val="2"/>
    <w:uiPriority w:val="9"/>
    <w:rPr>
      <w:rFonts w:ascii="仿宋" w:hAnsi="仿宋" w:eastAsia="仿宋"/>
      <w:b/>
      <w:bCs/>
      <w:kern w:val="44"/>
      <w:sz w:val="44"/>
      <w:szCs w:val="44"/>
    </w:rPr>
  </w:style>
  <w:style w:type="character" w:customStyle="1" w:styleId="15">
    <w:name w:val="标题 2 Char"/>
    <w:basedOn w:val="10"/>
    <w:link w:val="3"/>
    <w:qFormat/>
    <w:uiPriority w:val="9"/>
    <w:rPr>
      <w:rFonts w:asciiTheme="majorHAnsi" w:hAnsiTheme="majorHAnsi" w:eastAsiaTheme="majorEastAsia" w:cstheme="majorBidi"/>
      <w:b/>
      <w:bCs/>
      <w:sz w:val="32"/>
      <w:szCs w:val="32"/>
    </w:rPr>
  </w:style>
  <w:style w:type="character" w:customStyle="1" w:styleId="16">
    <w:name w:val="标题 3 Char"/>
    <w:basedOn w:val="10"/>
    <w:link w:val="4"/>
    <w:uiPriority w:val="9"/>
    <w:rPr>
      <w:rFonts w:ascii="仿宋" w:hAnsi="仿宋" w:eastAsia="仿宋"/>
      <w:b/>
      <w:bCs/>
      <w:sz w:val="32"/>
      <w:szCs w:val="32"/>
    </w:rPr>
  </w:style>
  <w:style w:type="character" w:customStyle="1" w:styleId="17">
    <w:name w:val="页眉 Char"/>
    <w:basedOn w:val="10"/>
    <w:link w:val="7"/>
    <w:uiPriority w:val="99"/>
    <w:rPr>
      <w:rFonts w:ascii="仿宋" w:hAnsi="仿宋" w:eastAsia="仿宋"/>
      <w:sz w:val="18"/>
      <w:szCs w:val="18"/>
    </w:rPr>
  </w:style>
  <w:style w:type="character" w:customStyle="1" w:styleId="18">
    <w:name w:val="页脚 Char"/>
    <w:basedOn w:val="10"/>
    <w:link w:val="6"/>
    <w:qFormat/>
    <w:uiPriority w:val="99"/>
    <w:rPr>
      <w:rFonts w:ascii="仿宋" w:hAnsi="仿宋" w:eastAsia="仿宋"/>
      <w:sz w:val="18"/>
      <w:szCs w:val="18"/>
    </w:rPr>
  </w:style>
  <w:style w:type="character" w:customStyle="1" w:styleId="19">
    <w:name w:val="Unresolved Mention"/>
    <w:basedOn w:val="10"/>
    <w:semiHidden/>
    <w:unhideWhenUsed/>
    <w:qFormat/>
    <w:uiPriority w:val="99"/>
    <w:rPr>
      <w:color w:val="605E5C"/>
      <w:shd w:val="clear" w:color="auto" w:fill="E1DFDD"/>
    </w:rPr>
  </w:style>
  <w:style w:type="character" w:customStyle="1" w:styleId="20">
    <w:name w:val="文档结构图 Char"/>
    <w:basedOn w:val="10"/>
    <w:link w:val="5"/>
    <w:semiHidden/>
    <w:uiPriority w:val="99"/>
    <w:rPr>
      <w:rFonts w:ascii="宋体" w:hAnsi="仿宋"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514</Words>
  <Characters>2931</Characters>
  <Lines>24</Lines>
  <Paragraphs>6</Paragraphs>
  <TotalTime>9</TotalTime>
  <ScaleCrop>false</ScaleCrop>
  <LinksUpToDate>false</LinksUpToDate>
  <CharactersWithSpaces>3439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2022-01-25T13:49:00Z</dcterms:created>
  <dc:creator>Windows 用户</dc:creator>
  <cp:lastModifiedBy>默默</cp:lastModifiedBy>
  <dcterms:modified xsi:type="dcterms:W3CDTF">2022-02-13T08:44:48Z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