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beforeAutospacing="0" w:after="156" w:afterLines="50" w:afterAutospacing="0" w:line="360" w:lineRule="auto"/>
        <w:rPr>
          <w:rFonts w:hint="eastAsia" w:ascii="宋体" w:hAnsi="宋体" w:eastAsia="宋体"/>
          <w:kern w:val="0"/>
        </w:rPr>
      </w:pPr>
      <w:r>
        <w:rPr>
          <w:rFonts w:hint="eastAsia" w:ascii="宋体" w:hAnsi="宋体" w:eastAsia="宋体"/>
          <w:kern w:val="0"/>
        </w:rPr>
        <w:t>2020税务稽查典型案例评析之三十八</w:t>
      </w:r>
    </w:p>
    <w:p>
      <w:pPr>
        <w:spacing w:beforeLines="50" w:beforeAutospacing="0" w:afterLines="50" w:afterAutospacing="0" w:line="360" w:lineRule="auto"/>
        <w:rPr>
          <w:rFonts w:ascii="宋体" w:hAnsi="宋体" w:eastAsia="宋体"/>
          <w:kern w:val="0"/>
        </w:rPr>
      </w:pPr>
    </w:p>
    <w:p>
      <w:pPr>
        <w:pStyle w:val="2"/>
        <w:spacing w:beforeLines="50" w:beforeAutospacing="0" w:afterLines="50" w:afterAutospacing="0" w:line="360" w:lineRule="auto"/>
        <w:rPr>
          <w:rFonts w:ascii="宋体" w:hAnsi="宋体" w:eastAsia="宋体"/>
          <w:sz w:val="24"/>
          <w:szCs w:val="24"/>
        </w:rPr>
      </w:pPr>
      <w:r>
        <w:rPr>
          <w:rFonts w:hint="eastAsia" w:ascii="宋体" w:hAnsi="宋体" w:eastAsia="宋体"/>
          <w:sz w:val="24"/>
          <w:szCs w:val="24"/>
        </w:rPr>
        <w:t>摘要</w:t>
      </w:r>
    </w:p>
    <w:p>
      <w:pPr>
        <w:pStyle w:val="4"/>
        <w:spacing w:beforeLines="50" w:beforeAutospacing="0" w:afterLines="50" w:afterAutospacing="0" w:line="360" w:lineRule="auto"/>
        <w:ind w:firstLine="386"/>
        <w:rPr>
          <w:rFonts w:ascii="楷体" w:hAnsi="楷体" w:eastAsia="楷体" w:cs="楷体"/>
          <w:color w:val="0070C0"/>
          <w:kern w:val="2"/>
          <w:szCs w:val="28"/>
        </w:rPr>
      </w:pPr>
    </w:p>
    <w:p>
      <w:pPr>
        <w:spacing w:before="156" w:beforeLines="50" w:beforeAutospacing="0" w:after="156" w:afterLines="50" w:afterAutospacing="0" w:line="360" w:lineRule="auto"/>
        <w:ind w:firstLine="480" w:firstLineChars="200"/>
        <w:rPr>
          <w:rFonts w:hint="eastAsia" w:ascii="楷体" w:hAnsi="楷体" w:eastAsia="楷体" w:cs="楷体"/>
          <w:color w:val="0000FF"/>
          <w:szCs w:val="24"/>
        </w:rPr>
      </w:pPr>
      <w:r>
        <w:rPr>
          <w:rFonts w:hint="eastAsia" w:ascii="楷体" w:hAnsi="楷体" w:eastAsia="楷体" w:cs="楷体"/>
          <w:color w:val="0000FF"/>
          <w:szCs w:val="24"/>
        </w:rPr>
        <w:t>一、福建林某、陈某于2013年3月至2014年3月，以签订房屋买卖合同、收取合同违约金的名义，向福建省XL古典工艺博览城建设有限公司（以下简称XL公司）放贷获利。</w:t>
      </w:r>
    </w:p>
    <w:p>
      <w:pPr>
        <w:spacing w:before="156" w:beforeLines="50" w:beforeAutospacing="0" w:after="156" w:afterLines="50" w:afterAutospacing="0" w:line="360" w:lineRule="auto"/>
        <w:ind w:firstLine="480" w:firstLineChars="200"/>
        <w:rPr>
          <w:rFonts w:hint="eastAsia" w:ascii="楷体" w:hAnsi="楷体" w:eastAsia="楷体" w:cs="楷体"/>
          <w:color w:val="0000FF"/>
          <w:szCs w:val="24"/>
        </w:rPr>
      </w:pPr>
      <w:r>
        <w:rPr>
          <w:rFonts w:hint="eastAsia" w:ascii="楷体" w:hAnsi="楷体" w:eastAsia="楷体" w:cs="楷体"/>
          <w:color w:val="0000FF"/>
          <w:szCs w:val="24"/>
        </w:rPr>
        <w:t>根据《</w:t>
      </w:r>
      <w:r>
        <w:rPr>
          <w:rFonts w:hint="eastAsia" w:ascii="楷体" w:hAnsi="楷体" w:eastAsia="楷体" w:cs="楷体"/>
          <w:color w:val="0000FF"/>
        </w:rPr>
        <w:fldChar w:fldCharType="begin"/>
      </w:r>
      <w:r>
        <w:rPr>
          <w:rFonts w:hint="eastAsia" w:ascii="楷体" w:hAnsi="楷体" w:eastAsia="楷体" w:cs="楷体"/>
          <w:color w:val="0000FF"/>
        </w:rPr>
        <w:instrText xml:space="preserve"> HYPERLINK "http://ssfb86.com/index/News/detail/newsid/1036.html" </w:instrText>
      </w:r>
      <w:r>
        <w:rPr>
          <w:rFonts w:hint="eastAsia" w:ascii="楷体" w:hAnsi="楷体" w:eastAsia="楷体" w:cs="楷体"/>
          <w:color w:val="0000FF"/>
        </w:rPr>
        <w:fldChar w:fldCharType="separate"/>
      </w:r>
      <w:r>
        <w:rPr>
          <w:rStyle w:val="7"/>
          <w:rFonts w:hint="eastAsia" w:ascii="楷体" w:hAnsi="楷体" w:eastAsia="楷体" w:cs="楷体"/>
          <w:color w:val="0000FF"/>
          <w:szCs w:val="24"/>
        </w:rPr>
        <w:t>中华人民共和国税收征收管理法</w:t>
      </w:r>
      <w:r>
        <w:rPr>
          <w:rStyle w:val="7"/>
          <w:rFonts w:hint="eastAsia" w:ascii="楷体" w:hAnsi="楷体" w:eastAsia="楷体" w:cs="楷体"/>
          <w:color w:val="0000FF"/>
          <w:szCs w:val="24"/>
        </w:rPr>
        <w:fldChar w:fldCharType="end"/>
      </w:r>
      <w:r>
        <w:rPr>
          <w:rFonts w:hint="eastAsia" w:ascii="楷体" w:hAnsi="楷体" w:eastAsia="楷体" w:cs="楷体"/>
          <w:color w:val="0000FF"/>
          <w:szCs w:val="24"/>
        </w:rPr>
        <w:t>》及相关规定，税务机关是主管税收工作的行政主体，承担管辖权范围内的各项税收、非税收入征管等法定职责。在坚持税务机关对实质民事交易关系认定负举证责任的前提下，允许税务机关基于确切理由自行认定民事法律关系，对民事交易秩序的稳定性和当事人权益并不构成威胁。因此，税务机关依据实质课税原则，根据当事人民事交易的实质内容自行、独立认定林某、陈某与XL公司之间实际形成民间借贷法律关系，符合事实，也符合依据纳税人交易活动的实质而非表面形式予以征税的实质课税原则。</w:t>
      </w:r>
    </w:p>
    <w:p>
      <w:pPr>
        <w:spacing w:before="156" w:beforeLines="50" w:beforeAutospacing="0" w:after="156" w:afterLines="50" w:afterAutospacing="0" w:line="360" w:lineRule="auto"/>
        <w:ind w:firstLine="480" w:firstLineChars="200"/>
        <w:rPr>
          <w:rFonts w:ascii="宋体" w:hAnsi="宋体" w:eastAsia="宋体"/>
          <w:szCs w:val="24"/>
        </w:rPr>
      </w:pPr>
      <w:r>
        <w:rPr>
          <w:rFonts w:hint="eastAsia" w:ascii="楷体" w:hAnsi="楷体" w:eastAsia="楷体" w:cs="楷体"/>
          <w:color w:val="0000FF"/>
          <w:szCs w:val="24"/>
          <w:lang w:eastAsia="zh-CN"/>
        </w:rPr>
        <w:t>二、</w:t>
      </w:r>
      <w:r>
        <w:rPr>
          <w:rFonts w:hint="eastAsia" w:ascii="楷体" w:hAnsi="楷体" w:eastAsia="楷体" w:cs="楷体"/>
          <w:color w:val="0000FF"/>
          <w:szCs w:val="24"/>
        </w:rPr>
        <w:t>根据《</w:t>
      </w:r>
      <w:r>
        <w:rPr>
          <w:rFonts w:hint="eastAsia" w:ascii="楷体" w:hAnsi="楷体" w:eastAsia="楷体" w:cs="楷体"/>
          <w:color w:val="0000FF"/>
        </w:rPr>
        <w:fldChar w:fldCharType="begin"/>
      </w:r>
      <w:r>
        <w:rPr>
          <w:rFonts w:hint="eastAsia" w:ascii="楷体" w:hAnsi="楷体" w:eastAsia="楷体" w:cs="楷体"/>
          <w:color w:val="0000FF"/>
        </w:rPr>
        <w:instrText xml:space="preserve"> HYPERLINK "http://ssfb86.com/index/News/detail/newsid/1036.html" </w:instrText>
      </w:r>
      <w:r>
        <w:rPr>
          <w:rFonts w:hint="eastAsia" w:ascii="楷体" w:hAnsi="楷体" w:eastAsia="楷体" w:cs="楷体"/>
          <w:color w:val="0000FF"/>
        </w:rPr>
        <w:fldChar w:fldCharType="separate"/>
      </w:r>
      <w:r>
        <w:rPr>
          <w:rStyle w:val="7"/>
          <w:rFonts w:hint="eastAsia" w:ascii="楷体" w:hAnsi="楷体" w:eastAsia="楷体" w:cs="楷体"/>
          <w:color w:val="0000FF"/>
          <w:szCs w:val="24"/>
        </w:rPr>
        <w:t>中华人民共和国税收征收管理法</w:t>
      </w:r>
      <w:r>
        <w:rPr>
          <w:rStyle w:val="7"/>
          <w:rFonts w:hint="eastAsia" w:ascii="楷体" w:hAnsi="楷体" w:eastAsia="楷体" w:cs="楷体"/>
          <w:color w:val="0000FF"/>
          <w:szCs w:val="24"/>
        </w:rPr>
        <w:fldChar w:fldCharType="end"/>
      </w:r>
      <w:r>
        <w:rPr>
          <w:rFonts w:hint="eastAsia" w:ascii="楷体" w:hAnsi="楷体" w:eastAsia="楷体" w:cs="楷体"/>
          <w:color w:val="0000FF"/>
          <w:szCs w:val="24"/>
        </w:rPr>
        <w:t>》第三条第一款规定，税收的开征、停征以及减税、免税、退税、补税，依照法律的规定执行；法律授权国务院规定的，依照国务院</w:t>
      </w:r>
      <w:bookmarkStart w:id="1" w:name="_GoBack"/>
      <w:bookmarkEnd w:id="1"/>
      <w:r>
        <w:rPr>
          <w:rFonts w:hint="eastAsia" w:ascii="楷体" w:hAnsi="楷体" w:eastAsia="楷体" w:cs="楷体"/>
          <w:color w:val="0000FF"/>
          <w:szCs w:val="24"/>
        </w:rPr>
        <w:t>制定的行政法规的规定执行。税收法定是税收征收的基本原则，营业税、增值税与个人所得税属于不同税种，在原理、税基、计算方法、调节重点等方面均不相同，对已经征收营业税或者增值税的收入再征收个人所得税，并不存在重复征税问题。因此，对民间借贷取得的利息收入，纳税人既需要依法缴纳营业税或者增值税，也应依法缴纳个人所得税。</w:t>
      </w:r>
    </w:p>
    <w:p>
      <w:pPr>
        <w:spacing w:before="156" w:beforeLines="50" w:beforeAutospacing="0" w:after="156" w:afterLines="50" w:afterAutospacing="0" w:line="360" w:lineRule="auto"/>
        <w:ind w:firstLine="480" w:firstLineChars="200"/>
        <w:rPr>
          <w:rFonts w:ascii="宋体" w:hAnsi="宋体" w:eastAsia="宋体"/>
          <w:szCs w:val="24"/>
        </w:rPr>
      </w:pPr>
    </w:p>
    <w:p>
      <w:pPr>
        <w:pStyle w:val="2"/>
        <w:spacing w:beforeLines="50" w:beforeAutospacing="0" w:afterLines="50" w:afterAutospacing="0" w:line="360" w:lineRule="auto"/>
        <w:rPr>
          <w:rFonts w:ascii="宋体" w:hAnsi="宋体" w:eastAsia="宋体"/>
          <w:sz w:val="24"/>
          <w:szCs w:val="24"/>
        </w:rPr>
      </w:pPr>
      <w:r>
        <w:rPr>
          <w:rFonts w:hint="eastAsia" w:ascii="宋体" w:hAnsi="宋体" w:eastAsia="宋体"/>
          <w:sz w:val="24"/>
          <w:szCs w:val="24"/>
        </w:rPr>
        <w:t>思考</w:t>
      </w:r>
    </w:p>
    <w:p>
      <w:pPr>
        <w:spacing w:beforeLines="50" w:beforeAutospacing="0" w:afterLines="50" w:afterAutospacing="0" w:line="360" w:lineRule="auto"/>
        <w:ind w:firstLine="480" w:firstLineChars="200"/>
        <w:rPr>
          <w:rFonts w:ascii="楷体" w:hAnsi="楷体" w:eastAsia="楷体" w:cs="楷体"/>
          <w:color w:val="0070C0"/>
          <w:szCs w:val="24"/>
        </w:rPr>
      </w:pPr>
    </w:p>
    <w:p>
      <w:pPr>
        <w:spacing w:before="156" w:beforeLines="50" w:beforeAutospacing="0" w:after="156" w:afterLines="50" w:afterAutospacing="0" w:line="360" w:lineRule="auto"/>
        <w:ind w:firstLine="480" w:firstLineChars="200"/>
        <w:rPr>
          <w:rFonts w:hint="eastAsia" w:ascii="楷体" w:hAnsi="楷体" w:eastAsia="楷体"/>
          <w:color w:val="0070C0"/>
          <w:szCs w:val="24"/>
        </w:rPr>
      </w:pPr>
      <w:r>
        <w:rPr>
          <w:rFonts w:hint="eastAsia" w:ascii="楷体" w:hAnsi="楷体" w:eastAsia="楷体"/>
          <w:color w:val="0070C0"/>
          <w:szCs w:val="24"/>
        </w:rPr>
        <w:t>一、当事人以合同违约金为名，达收利息之实，是否涉嫌避税？对</w:t>
      </w:r>
      <w:r>
        <w:rPr>
          <w:rFonts w:ascii="宋体" w:hAnsi="宋体" w:eastAsia="宋体"/>
          <w:color w:val="0070C0"/>
          <w:szCs w:val="24"/>
        </w:rPr>
        <w:t>XL</w:t>
      </w:r>
      <w:r>
        <w:rPr>
          <w:rFonts w:ascii="楷体" w:hAnsi="楷体" w:eastAsia="楷体"/>
          <w:color w:val="0070C0"/>
          <w:szCs w:val="24"/>
        </w:rPr>
        <w:t>公司</w:t>
      </w:r>
      <w:r>
        <w:rPr>
          <w:rFonts w:hint="eastAsia" w:ascii="楷体" w:hAnsi="楷体" w:eastAsia="楷体"/>
          <w:color w:val="0070C0"/>
          <w:szCs w:val="24"/>
        </w:rPr>
        <w:t>是否应追究未按规定代扣代缴的法律责任？</w:t>
      </w:r>
    </w:p>
    <w:p>
      <w:pPr>
        <w:spacing w:before="156" w:beforeLines="50" w:beforeAutospacing="0" w:after="156" w:afterLines="50" w:afterAutospacing="0" w:line="360" w:lineRule="auto"/>
        <w:ind w:firstLine="480" w:firstLineChars="200"/>
        <w:rPr>
          <w:rFonts w:hint="eastAsia" w:ascii="楷体" w:hAnsi="楷体" w:eastAsia="楷体"/>
          <w:color w:val="0070C0"/>
          <w:szCs w:val="24"/>
        </w:rPr>
      </w:pPr>
      <w:r>
        <w:rPr>
          <w:rFonts w:hint="eastAsia" w:ascii="楷体" w:hAnsi="楷体" w:eastAsia="楷体"/>
          <w:color w:val="0070C0"/>
          <w:szCs w:val="24"/>
          <w:lang w:eastAsia="zh-CN"/>
        </w:rPr>
        <w:t>二、</w:t>
      </w:r>
      <w:r>
        <w:rPr>
          <w:rFonts w:hint="eastAsia" w:ascii="楷体" w:hAnsi="楷体" w:eastAsia="楷体"/>
          <w:color w:val="0070C0"/>
          <w:szCs w:val="24"/>
        </w:rPr>
        <w:t>鉴于X</w:t>
      </w:r>
      <w:r>
        <w:rPr>
          <w:rFonts w:ascii="楷体" w:hAnsi="楷体" w:eastAsia="楷体"/>
          <w:color w:val="0070C0"/>
          <w:szCs w:val="24"/>
        </w:rPr>
        <w:t>L</w:t>
      </w:r>
      <w:r>
        <w:rPr>
          <w:rFonts w:hint="eastAsia" w:ascii="楷体" w:hAnsi="楷体" w:eastAsia="楷体"/>
          <w:color w:val="0070C0"/>
          <w:szCs w:val="24"/>
        </w:rPr>
        <w:t>公司未按规定代扣代缴利息个税，是否不应加收林某、陈某的滞纳金？</w:t>
      </w:r>
    </w:p>
    <w:p>
      <w:pPr>
        <w:spacing w:before="156" w:beforeLines="50" w:beforeAutospacing="0" w:after="156" w:afterLines="50" w:afterAutospacing="0" w:line="360" w:lineRule="auto"/>
        <w:ind w:firstLine="480" w:firstLineChars="200"/>
        <w:rPr>
          <w:rFonts w:hint="eastAsia" w:ascii="楷体" w:hAnsi="楷体" w:eastAsia="楷体"/>
          <w:color w:val="0070C0"/>
          <w:szCs w:val="24"/>
        </w:rPr>
      </w:pPr>
    </w:p>
    <w:p>
      <w:pPr>
        <w:spacing w:before="156" w:beforeLines="50" w:beforeAutospacing="0" w:after="156" w:afterLines="50" w:afterAutospacing="0" w:line="360" w:lineRule="auto"/>
        <w:jc w:val="center"/>
        <w:rPr>
          <w:rFonts w:ascii="宋体" w:hAnsi="宋体" w:eastAsia="宋体"/>
          <w:b/>
          <w:bCs/>
          <w:color w:val="C55A11" w:themeColor="accent2" w:themeShade="BF"/>
          <w:sz w:val="44"/>
          <w:szCs w:val="44"/>
        </w:rPr>
      </w:pPr>
      <w:r>
        <w:rPr>
          <w:rFonts w:hint="eastAsia" w:ascii="宋体" w:hAnsi="宋体" w:eastAsia="宋体"/>
          <w:b/>
          <w:bCs/>
          <w:color w:val="C55A11" w:themeColor="accent2" w:themeShade="BF"/>
          <w:sz w:val="44"/>
          <w:szCs w:val="44"/>
        </w:rPr>
        <w:t>福建赫某、陈某放货利息收入少缴税款案</w:t>
      </w:r>
    </w:p>
    <w:p>
      <w:pPr>
        <w:spacing w:before="156" w:beforeLines="50" w:beforeAutospacing="0" w:after="156" w:afterLines="50" w:afterAutospacing="0" w:line="360" w:lineRule="auto"/>
        <w:ind w:firstLine="480" w:firstLineChars="200"/>
        <w:rPr>
          <w:rFonts w:ascii="宋体" w:hAnsi="宋体" w:eastAsia="宋体"/>
          <w:szCs w:val="24"/>
        </w:rPr>
      </w:pPr>
    </w:p>
    <w:p>
      <w:pPr>
        <w:spacing w:before="156" w:beforeLines="50" w:beforeAutospacing="0" w:after="156" w:afterLines="50" w:afterAutospacing="0" w:line="360" w:lineRule="auto"/>
        <w:jc w:val="center"/>
        <w:rPr>
          <w:rFonts w:ascii="宋体" w:hAnsi="宋体" w:eastAsia="宋体"/>
          <w:szCs w:val="24"/>
        </w:rPr>
      </w:pPr>
      <w:r>
        <w:rPr>
          <w:rFonts w:hint="eastAsia" w:ascii="宋体" w:hAnsi="宋体" w:eastAsia="宋体"/>
          <w:szCs w:val="24"/>
        </w:rPr>
        <w:t>——</w:t>
      </w:r>
      <w:r>
        <w:fldChar w:fldCharType="begin"/>
      </w:r>
      <w:r>
        <w:instrText xml:space="preserve"> HYPERLINK "http://ssfb86.com/index/News/detail/newsid/10070.html" </w:instrText>
      </w:r>
      <w:r>
        <w:fldChar w:fldCharType="separate"/>
      </w:r>
      <w:r>
        <w:rPr>
          <w:rStyle w:val="7"/>
          <w:rFonts w:ascii="宋体" w:hAnsi="宋体" w:eastAsia="宋体"/>
          <w:szCs w:val="24"/>
        </w:rPr>
        <w:t>依据实质课税原则追缴税款</w:t>
      </w:r>
      <w:r>
        <w:rPr>
          <w:rStyle w:val="7"/>
          <w:rFonts w:ascii="宋体" w:hAnsi="宋体" w:eastAsia="宋体"/>
          <w:szCs w:val="24"/>
        </w:rPr>
        <w:fldChar w:fldCharType="end"/>
      </w:r>
    </w:p>
    <w:p>
      <w:pPr>
        <w:spacing w:before="156" w:beforeLines="50" w:beforeAutospacing="0" w:after="156" w:afterLines="50" w:afterAutospacing="0" w:line="360" w:lineRule="auto"/>
        <w:ind w:firstLine="480" w:firstLineChars="200"/>
        <w:rPr>
          <w:rFonts w:ascii="宋体" w:hAnsi="宋体" w:eastAsia="宋体"/>
          <w:szCs w:val="24"/>
        </w:rPr>
      </w:pPr>
    </w:p>
    <w:p>
      <w:pPr>
        <w:spacing w:before="156" w:beforeLines="50" w:beforeAutospacing="0" w:after="156" w:afterLines="50" w:afterAutospacing="0" w:line="360" w:lineRule="auto"/>
        <w:ind w:firstLine="482" w:firstLineChars="200"/>
        <w:rPr>
          <w:rFonts w:ascii="宋体" w:hAnsi="宋体" w:eastAsia="宋体"/>
          <w:szCs w:val="24"/>
        </w:rPr>
      </w:pPr>
      <w:r>
        <w:rPr>
          <w:rFonts w:ascii="宋体" w:hAnsi="宋体" w:eastAsia="宋体"/>
          <w:b/>
          <w:bCs/>
          <w:szCs w:val="24"/>
        </w:rPr>
        <w:t>关键词:</w:t>
      </w:r>
      <w:r>
        <w:rPr>
          <w:rFonts w:ascii="宋体" w:hAnsi="宋体" w:eastAsia="宋体"/>
          <w:szCs w:val="24"/>
        </w:rPr>
        <w:t>名义合同</w:t>
      </w:r>
      <w:r>
        <w:rPr>
          <w:rFonts w:hint="eastAsia" w:ascii="宋体" w:hAnsi="宋体" w:eastAsia="宋体"/>
          <w:szCs w:val="24"/>
        </w:rPr>
        <w:t xml:space="preserve"> </w:t>
      </w:r>
      <w:r>
        <w:rPr>
          <w:rFonts w:ascii="宋体" w:hAnsi="宋体" w:eastAsia="宋体"/>
          <w:szCs w:val="24"/>
        </w:rPr>
        <w:t xml:space="preserve"> 实质课税</w:t>
      </w:r>
      <w:r>
        <w:rPr>
          <w:rFonts w:hint="eastAsia" w:ascii="宋体" w:hAnsi="宋体" w:eastAsia="宋体"/>
          <w:szCs w:val="24"/>
        </w:rPr>
        <w:t xml:space="preserve">  </w:t>
      </w:r>
      <w:r>
        <w:rPr>
          <w:rFonts w:ascii="宋体" w:hAnsi="宋体" w:eastAsia="宋体"/>
          <w:szCs w:val="24"/>
        </w:rPr>
        <w:t>税收公平</w:t>
      </w:r>
    </w:p>
    <w:p>
      <w:pPr>
        <w:spacing w:before="156" w:beforeLines="50" w:beforeAutospacing="0" w:after="156" w:afterLines="50" w:afterAutospacing="0" w:line="360" w:lineRule="auto"/>
        <w:ind w:firstLine="480" w:firstLineChars="200"/>
        <w:rPr>
          <w:rFonts w:ascii="宋体" w:hAnsi="宋体" w:eastAsia="宋体"/>
          <w:szCs w:val="24"/>
        </w:rPr>
      </w:pPr>
    </w:p>
    <w:p>
      <w:pPr>
        <w:pStyle w:val="2"/>
        <w:spacing w:before="50" w:beforeAutospacing="0" w:after="50" w:afterAutospacing="0" w:line="360" w:lineRule="auto"/>
        <w:ind w:firstLine="482" w:firstLineChars="200"/>
        <w:rPr>
          <w:rFonts w:ascii="宋体" w:hAnsi="宋体" w:eastAsia="宋体"/>
          <w:sz w:val="24"/>
          <w:szCs w:val="24"/>
        </w:rPr>
      </w:pPr>
      <w:r>
        <w:rPr>
          <w:rFonts w:ascii="宋体" w:hAnsi="宋体" w:eastAsia="宋体"/>
          <w:sz w:val="24"/>
          <w:szCs w:val="24"/>
        </w:rPr>
        <w:t>基本案情</w:t>
      </w:r>
    </w:p>
    <w:p>
      <w:pPr>
        <w:spacing w:before="156" w:beforeLines="50" w:beforeAutospacing="0" w:after="156" w:afterLines="50" w:afterAutospacing="0" w:line="360" w:lineRule="auto"/>
        <w:ind w:firstLine="480" w:firstLineChars="200"/>
        <w:rPr>
          <w:rFonts w:ascii="宋体" w:hAnsi="宋体" w:eastAsia="宋体"/>
          <w:szCs w:val="24"/>
        </w:rPr>
      </w:pPr>
    </w:p>
    <w:p>
      <w:pPr>
        <w:spacing w:before="156" w:beforeLines="50" w:beforeAutospacing="0" w:after="156" w:afterLines="50" w:afterAutospacing="0" w:line="360" w:lineRule="auto"/>
        <w:ind w:firstLine="480" w:firstLineChars="200"/>
        <w:rPr>
          <w:rFonts w:ascii="宋体" w:hAnsi="宋体" w:eastAsia="宋体"/>
          <w:szCs w:val="24"/>
        </w:rPr>
      </w:pPr>
      <w:r>
        <w:rPr>
          <w:rFonts w:hint="eastAsia" w:ascii="宋体" w:hAnsi="宋体" w:eastAsia="宋体"/>
          <w:szCs w:val="24"/>
        </w:rPr>
        <w:t>福建林某、陈某于</w:t>
      </w:r>
      <w:r>
        <w:rPr>
          <w:rFonts w:ascii="宋体" w:hAnsi="宋体" w:eastAsia="宋体"/>
          <w:szCs w:val="24"/>
        </w:rPr>
        <w:t>2013年3月至2014年3月，</w:t>
      </w:r>
      <w:r>
        <w:rPr>
          <w:rFonts w:ascii="宋体" w:hAnsi="宋体" w:eastAsia="宋体"/>
          <w:color w:val="C55A11" w:themeColor="accent2" w:themeShade="BF"/>
          <w:szCs w:val="24"/>
        </w:rPr>
        <w:t>以签订房屋买卖合同、收取合同违约金的名义，向福建省XL古典工艺博览城建设有限公司（以下简称XL公司）放贷获利</w:t>
      </w:r>
      <w:r>
        <w:rPr>
          <w:rFonts w:ascii="宋体" w:hAnsi="宋体" w:eastAsia="宋体"/>
          <w:szCs w:val="24"/>
        </w:rPr>
        <w:t>。</w:t>
      </w:r>
    </w:p>
    <w:p>
      <w:pPr>
        <w:spacing w:before="156" w:beforeLines="50" w:beforeAutospacing="0" w:after="156" w:afterLines="50" w:afterAutospacing="0" w:line="360" w:lineRule="auto"/>
        <w:ind w:firstLine="480" w:firstLineChars="200"/>
        <w:rPr>
          <w:rFonts w:ascii="宋体" w:hAnsi="宋体" w:eastAsia="宋体"/>
          <w:szCs w:val="24"/>
        </w:rPr>
      </w:pPr>
      <w:r>
        <w:rPr>
          <w:rFonts w:hint="eastAsia" w:ascii="宋体" w:hAnsi="宋体" w:eastAsia="宋体"/>
          <w:szCs w:val="24"/>
        </w:rPr>
        <w:t>税务机关查明：</w:t>
      </w:r>
      <w:r>
        <w:rPr>
          <w:rFonts w:ascii="宋体" w:hAnsi="宋体" w:eastAsia="宋体"/>
          <w:szCs w:val="24"/>
        </w:rPr>
        <w:t>2013年初，XL公司因项目开发建设需要，与林某和陈某（另案处理）达成协议，以XL公司部分房产作为抵押向林某和陈某合计借款6000万元，月息5%，利息按月支付，期限一年。2013年3月20日，林某、陈某与XL公司签订合同时，发现XL公司只能提供85间店面，店面面积合计1000</w:t>
      </w:r>
      <w:r>
        <w:rPr>
          <w:rFonts w:hint="eastAsia" w:ascii="宋体" w:hAnsi="宋体" w:eastAsia="宋体"/>
          <w:szCs w:val="24"/>
        </w:rPr>
        <w:t>8.</w:t>
      </w:r>
      <w:r>
        <w:rPr>
          <w:rFonts w:ascii="宋体" w:hAnsi="宋体" w:eastAsia="宋体"/>
          <w:szCs w:val="24"/>
        </w:rPr>
        <w:t>7</w:t>
      </w:r>
      <w:r>
        <w:rPr>
          <w:rFonts w:hint="eastAsia" w:ascii="宋体" w:hAnsi="宋体" w:eastAsia="宋体"/>
          <w:szCs w:val="24"/>
        </w:rPr>
        <w:t>3</w:t>
      </w:r>
      <w:r>
        <w:rPr>
          <w:rFonts w:ascii="宋体" w:hAnsi="宋体" w:eastAsia="宋体"/>
          <w:szCs w:val="24"/>
        </w:rPr>
        <w:t>方米，两人只同意借给XL公司5500万元，双方签订总价为5500万元的商品房买卖合同，并到仙游县房地产管理中心备案登记。同日，XL公司将多余的500万元汇还给林某。2014年1月17日，林某因资金周转需要从XL</w:t>
      </w:r>
      <w:r>
        <w:rPr>
          <w:rFonts w:hint="eastAsia" w:ascii="宋体" w:hAnsi="宋体" w:eastAsia="宋体"/>
          <w:szCs w:val="24"/>
        </w:rPr>
        <w:t>公司抽回</w:t>
      </w:r>
      <w:r>
        <w:rPr>
          <w:rFonts w:ascii="宋体" w:hAnsi="宋体" w:eastAsia="宋体"/>
          <w:szCs w:val="24"/>
        </w:rPr>
        <w:t>300万元。2014年3月19日即一年放贷期满，</w:t>
      </w:r>
      <w:r>
        <w:rPr>
          <w:rFonts w:ascii="宋体" w:hAnsi="宋体" w:eastAsia="宋体"/>
          <w:color w:val="C55A11" w:themeColor="accent2" w:themeShade="BF"/>
          <w:szCs w:val="24"/>
        </w:rPr>
        <w:t>林某、陈某与XL公司通过泉州仲裁委员会仲裁解除上述商品房买卖合同，XL公司汇还给林某、陈某各2600万元，共计5200万元。2013年3月20日至2014年3月19日，林某和陈某累计取得利息收入3328万</w:t>
      </w:r>
      <w:r>
        <w:rPr>
          <w:rFonts w:ascii="宋体" w:hAnsi="宋体" w:eastAsia="宋体"/>
          <w:szCs w:val="24"/>
        </w:rPr>
        <w:t>元。</w:t>
      </w:r>
    </w:p>
    <w:p>
      <w:pPr>
        <w:spacing w:before="156" w:beforeLines="50" w:beforeAutospacing="0" w:after="156" w:afterLines="50" w:afterAutospacing="0" w:line="360" w:lineRule="auto"/>
        <w:ind w:firstLine="480" w:firstLineChars="200"/>
        <w:rPr>
          <w:rFonts w:ascii="宋体" w:hAnsi="宋体" w:eastAsia="宋体"/>
          <w:szCs w:val="24"/>
        </w:rPr>
      </w:pPr>
      <w:r>
        <w:rPr>
          <w:rFonts w:hint="eastAsia" w:ascii="宋体" w:hAnsi="宋体" w:eastAsia="宋体"/>
          <w:szCs w:val="24"/>
        </w:rPr>
        <w:t>福建省莆田市地方税务局稽查局（以下简称莆田地方税务局稽查局）分别于</w:t>
      </w:r>
      <w:r>
        <w:rPr>
          <w:rFonts w:ascii="宋体" w:hAnsi="宋体" w:eastAsia="宋体"/>
          <w:szCs w:val="24"/>
        </w:rPr>
        <w:t>2015年3月26日、2015年4月1日对林某、陈某进行立案检查，认定林某、陈某与XL公司存在事实上的借贷关系，其相关获利为利息收入而非合同违约金收入，根据《</w:t>
      </w:r>
      <w:r>
        <w:rPr>
          <w:rFonts w:ascii="宋体" w:hAnsi="宋体" w:eastAsia="宋体"/>
          <w:szCs w:val="24"/>
        </w:rPr>
        <w:fldChar w:fldCharType="begin"/>
      </w:r>
      <w:r>
        <w:rPr>
          <w:rFonts w:ascii="宋体" w:hAnsi="宋体" w:eastAsia="宋体"/>
          <w:szCs w:val="24"/>
        </w:rPr>
        <w:instrText xml:space="preserve"> HYPERLINK "http://ssfb86.com/index/News/detail/newsid/310.html" </w:instrText>
      </w:r>
      <w:r>
        <w:rPr>
          <w:rFonts w:ascii="宋体" w:hAnsi="宋体" w:eastAsia="宋体"/>
          <w:szCs w:val="24"/>
        </w:rPr>
        <w:fldChar w:fldCharType="separate"/>
      </w:r>
      <w:r>
        <w:rPr>
          <w:rStyle w:val="7"/>
          <w:rFonts w:ascii="宋体" w:hAnsi="宋体" w:eastAsia="宋体"/>
          <w:szCs w:val="24"/>
        </w:rPr>
        <w:t>中华人民共和国个人所得税法</w:t>
      </w:r>
      <w:r>
        <w:rPr>
          <w:rFonts w:ascii="宋体" w:hAnsi="宋体" w:eastAsia="宋体"/>
          <w:szCs w:val="24"/>
        </w:rPr>
        <w:fldChar w:fldCharType="end"/>
      </w:r>
      <w:r>
        <w:rPr>
          <w:rFonts w:ascii="宋体" w:hAnsi="宋体" w:eastAsia="宋体"/>
          <w:szCs w:val="24"/>
        </w:rPr>
        <w:t>》《</w:t>
      </w:r>
      <w:r>
        <w:fldChar w:fldCharType="begin"/>
      </w:r>
      <w:r>
        <w:instrText xml:space="preserve"> HYPERLINK "http://ssfb86.com/index/News/detail/newsid/465.html" </w:instrText>
      </w:r>
      <w:r>
        <w:fldChar w:fldCharType="separate"/>
      </w:r>
      <w:r>
        <w:rPr>
          <w:rStyle w:val="7"/>
          <w:rFonts w:ascii="宋体" w:hAnsi="宋体" w:eastAsia="宋体"/>
          <w:szCs w:val="24"/>
        </w:rPr>
        <w:t>中华人民共和国营业税暂行条例</w:t>
      </w:r>
      <w:r>
        <w:rPr>
          <w:rStyle w:val="7"/>
          <w:rFonts w:ascii="宋体" w:hAnsi="宋体" w:eastAsia="宋体"/>
          <w:szCs w:val="24"/>
        </w:rPr>
        <w:fldChar w:fldCharType="end"/>
      </w:r>
      <w:r>
        <w:rPr>
          <w:rFonts w:ascii="宋体" w:hAnsi="宋体" w:eastAsia="宋体"/>
          <w:szCs w:val="24"/>
        </w:rPr>
        <w:t>》等规定，追缴二人个人所得税、营业税等税费84</w:t>
      </w:r>
      <w:r>
        <w:rPr>
          <w:rFonts w:hint="eastAsia" w:ascii="宋体" w:hAnsi="宋体" w:eastAsia="宋体"/>
          <w:szCs w:val="24"/>
        </w:rPr>
        <w:t>8.</w:t>
      </w:r>
      <w:r>
        <w:rPr>
          <w:rFonts w:ascii="宋体" w:hAnsi="宋体" w:eastAsia="宋体"/>
          <w:szCs w:val="24"/>
        </w:rPr>
        <w:t>64万元，并依法加收</w:t>
      </w:r>
      <w:r>
        <w:rPr>
          <w:rFonts w:hint="eastAsia" w:ascii="宋体" w:hAnsi="宋体" w:eastAsia="宋体"/>
          <w:szCs w:val="24"/>
        </w:rPr>
        <w:t>滞纳金。</w:t>
      </w:r>
    </w:p>
    <w:p>
      <w:pPr>
        <w:spacing w:before="156" w:beforeLines="50" w:beforeAutospacing="0" w:after="156" w:afterLines="50" w:afterAutospacing="0" w:line="360" w:lineRule="auto"/>
        <w:ind w:firstLine="480" w:firstLineChars="200"/>
        <w:rPr>
          <w:rFonts w:ascii="宋体" w:hAnsi="宋体" w:eastAsia="宋体"/>
          <w:szCs w:val="24"/>
        </w:rPr>
      </w:pPr>
      <w:r>
        <w:rPr>
          <w:rFonts w:ascii="宋体" w:hAnsi="宋体" w:eastAsia="宋体"/>
          <w:szCs w:val="24"/>
        </w:rPr>
        <w:t>林某、陈某不服该处理决定，向福建省地方税务局提起行政复议，福建省地方税务局作出维持的复议决定。林某、陈某据此向法院起诉。经</w:t>
      </w:r>
      <w:r>
        <w:rPr>
          <w:rFonts w:hint="eastAsia" w:ascii="宋体" w:hAnsi="宋体" w:eastAsia="宋体"/>
          <w:szCs w:val="24"/>
        </w:rPr>
        <w:t>莆</w:t>
      </w:r>
      <w:r>
        <w:rPr>
          <w:rFonts w:ascii="宋体" w:hAnsi="宋体" w:eastAsia="宋体"/>
          <w:szCs w:val="24"/>
        </w:rPr>
        <w:t>田市中级人民法院一审和福建省高级人民法院二审，均驳回林某、陈某诉讼请求。林某、陈某向最高人民法院提起再审申请，最高人民法院于2018年12月28日裁定驳回林某、陈某的再审申请。</w:t>
      </w:r>
    </w:p>
    <w:p>
      <w:pPr>
        <w:spacing w:before="156" w:beforeLines="50" w:beforeAutospacing="0" w:after="156" w:afterLines="50" w:afterAutospacing="0" w:line="360" w:lineRule="auto"/>
        <w:ind w:firstLine="480" w:firstLineChars="200"/>
        <w:rPr>
          <w:rFonts w:ascii="宋体" w:hAnsi="宋体" w:eastAsia="宋体"/>
          <w:szCs w:val="24"/>
        </w:rPr>
      </w:pPr>
    </w:p>
    <w:p>
      <w:pPr>
        <w:pStyle w:val="2"/>
        <w:spacing w:before="50" w:beforeAutospacing="0" w:after="50" w:afterAutospacing="0" w:line="360" w:lineRule="auto"/>
        <w:ind w:firstLine="482" w:firstLineChars="200"/>
        <w:rPr>
          <w:rFonts w:ascii="宋体" w:hAnsi="宋体" w:eastAsia="宋体"/>
          <w:sz w:val="24"/>
          <w:szCs w:val="24"/>
        </w:rPr>
      </w:pPr>
      <w:r>
        <w:rPr>
          <w:rFonts w:hint="eastAsia" w:ascii="宋体" w:hAnsi="宋体" w:eastAsia="宋体"/>
          <w:sz w:val="24"/>
          <w:szCs w:val="24"/>
        </w:rPr>
        <w:t>争议焦点</w:t>
      </w:r>
    </w:p>
    <w:p/>
    <w:p>
      <w:pPr>
        <w:pStyle w:val="3"/>
        <w:spacing w:before="50" w:beforeAutospacing="0" w:after="50" w:afterAutospacing="0" w:line="360" w:lineRule="auto"/>
        <w:ind w:firstLine="482" w:firstLineChars="200"/>
        <w:rPr>
          <w:rFonts w:ascii="宋体" w:hAnsi="宋体" w:eastAsia="宋体"/>
          <w:sz w:val="24"/>
          <w:szCs w:val="24"/>
        </w:rPr>
      </w:pPr>
      <w:r>
        <w:rPr>
          <w:rFonts w:hint="eastAsia" w:ascii="宋体" w:hAnsi="宋体" w:eastAsia="宋体"/>
          <w:sz w:val="24"/>
          <w:szCs w:val="24"/>
        </w:rPr>
        <w:t>一、关于税务机关认定林某、陈某与</w:t>
      </w:r>
      <w:r>
        <w:rPr>
          <w:rFonts w:ascii="宋体" w:hAnsi="宋体" w:eastAsia="宋体"/>
          <w:sz w:val="24"/>
          <w:szCs w:val="24"/>
        </w:rPr>
        <w:t>x</w:t>
      </w:r>
      <w:r>
        <w:rPr>
          <w:rFonts w:hint="eastAsia" w:ascii="宋体" w:hAnsi="宋体" w:eastAsia="宋体"/>
          <w:sz w:val="24"/>
          <w:szCs w:val="24"/>
        </w:rPr>
        <w:t>L</w:t>
      </w:r>
      <w:r>
        <w:rPr>
          <w:rFonts w:ascii="宋体" w:hAnsi="宋体" w:eastAsia="宋体"/>
          <w:sz w:val="24"/>
          <w:szCs w:val="24"/>
        </w:rPr>
        <w:t>公司之间为民间借贷关</w:t>
      </w:r>
      <w:r>
        <w:rPr>
          <w:rFonts w:hint="eastAsia" w:ascii="宋体" w:hAnsi="宋体" w:eastAsia="宋体"/>
          <w:sz w:val="24"/>
          <w:szCs w:val="24"/>
        </w:rPr>
        <w:t>系</w:t>
      </w:r>
      <w:r>
        <w:rPr>
          <w:rFonts w:ascii="宋体" w:hAnsi="宋体" w:eastAsia="宋体"/>
          <w:sz w:val="24"/>
          <w:szCs w:val="24"/>
        </w:rPr>
        <w:t>问题</w:t>
      </w:r>
    </w:p>
    <w:p>
      <w:pPr>
        <w:spacing w:before="156" w:beforeLines="50" w:beforeAutospacing="0" w:after="156" w:afterLines="50" w:afterAutospacing="0" w:line="360" w:lineRule="auto"/>
        <w:ind w:firstLine="480" w:firstLineChars="200"/>
        <w:rPr>
          <w:rFonts w:ascii="宋体" w:hAnsi="宋体" w:eastAsia="宋体"/>
          <w:szCs w:val="24"/>
        </w:rPr>
      </w:pPr>
      <w:bookmarkStart w:id="0" w:name="_Hlk94862598"/>
      <w:r>
        <w:rPr>
          <w:rFonts w:ascii="宋体" w:hAnsi="宋体" w:eastAsia="宋体"/>
          <w:szCs w:val="24"/>
        </w:rPr>
        <w:t>林某、陈某</w:t>
      </w:r>
      <w:bookmarkEnd w:id="0"/>
      <w:r>
        <w:rPr>
          <w:rFonts w:ascii="宋体" w:hAnsi="宋体" w:eastAsia="宋体"/>
          <w:szCs w:val="24"/>
        </w:rPr>
        <w:t>认为，法律未赋予税务机关对公民与法人之间民事法律关系认定的权力，税务机关认定其与XL公司之间为民间借贷关系属于越权行为。</w:t>
      </w:r>
    </w:p>
    <w:p>
      <w:pPr>
        <w:spacing w:before="156" w:beforeLines="50" w:beforeAutospacing="0" w:after="156" w:afterLines="50" w:afterAutospacing="0" w:line="360" w:lineRule="auto"/>
        <w:ind w:firstLine="480" w:firstLineChars="200"/>
        <w:rPr>
          <w:rFonts w:ascii="宋体" w:hAnsi="宋体" w:eastAsia="宋体"/>
          <w:szCs w:val="24"/>
        </w:rPr>
      </w:pPr>
      <w:r>
        <w:rPr>
          <w:rFonts w:ascii="宋体" w:hAnsi="宋体" w:eastAsia="宋体"/>
          <w:szCs w:val="24"/>
        </w:rPr>
        <w:t>税务机关认为，未对林某、陈某和XL公司之间的关系进行认定，只对涉案收人是否属于利息收入进行调查取证，不存在越权问题。</w:t>
      </w:r>
    </w:p>
    <w:p>
      <w:pPr>
        <w:pStyle w:val="3"/>
        <w:spacing w:before="50" w:beforeAutospacing="0" w:after="50" w:afterAutospacing="0" w:line="360" w:lineRule="auto"/>
        <w:ind w:firstLine="482" w:firstLineChars="200"/>
        <w:rPr>
          <w:rFonts w:ascii="宋体" w:hAnsi="宋体" w:eastAsia="宋体"/>
          <w:sz w:val="24"/>
          <w:szCs w:val="24"/>
        </w:rPr>
      </w:pPr>
      <w:r>
        <w:rPr>
          <w:rFonts w:hint="eastAsia" w:ascii="宋体" w:hAnsi="宋体" w:eastAsia="宋体"/>
          <w:sz w:val="24"/>
          <w:szCs w:val="24"/>
        </w:rPr>
        <w:t>二、</w:t>
      </w:r>
      <w:r>
        <w:rPr>
          <w:rFonts w:ascii="宋体" w:hAnsi="宋体" w:eastAsia="宋体"/>
          <w:sz w:val="24"/>
          <w:szCs w:val="24"/>
        </w:rPr>
        <w:t>关于民间借贷利息收入应否征收营业税问题</w:t>
      </w:r>
    </w:p>
    <w:p>
      <w:pPr>
        <w:spacing w:before="156" w:beforeLines="50" w:beforeAutospacing="0" w:after="156" w:afterLines="50" w:afterAutospacing="0" w:line="360" w:lineRule="auto"/>
        <w:ind w:firstLine="480" w:firstLineChars="200"/>
        <w:rPr>
          <w:rFonts w:ascii="宋体" w:hAnsi="宋体" w:eastAsia="宋体"/>
          <w:szCs w:val="24"/>
        </w:rPr>
      </w:pPr>
      <w:r>
        <w:rPr>
          <w:rFonts w:hint="eastAsia" w:ascii="宋体" w:hAnsi="宋体" w:eastAsia="宋体"/>
          <w:szCs w:val="24"/>
        </w:rPr>
        <w:t>林某、陈某认为，自然人不属于营业税“金融保险业”征税对象，故认定其放贷取得利息、缴纳营业税等税费属适用法律错误。</w:t>
      </w:r>
    </w:p>
    <w:p>
      <w:pPr>
        <w:spacing w:before="156" w:beforeLines="50" w:beforeAutospacing="0" w:after="156" w:afterLines="50" w:afterAutospacing="0" w:line="360" w:lineRule="auto"/>
        <w:ind w:firstLine="480" w:firstLineChars="200"/>
        <w:rPr>
          <w:rFonts w:ascii="宋体" w:hAnsi="宋体" w:eastAsia="宋体"/>
          <w:szCs w:val="24"/>
        </w:rPr>
      </w:pPr>
      <w:r>
        <w:rPr>
          <w:rFonts w:hint="eastAsia" w:ascii="宋体" w:hAnsi="宋体" w:eastAsia="宋体"/>
          <w:szCs w:val="24"/>
        </w:rPr>
        <w:t>税务机关认为，林某、陈某的行为属于营业税条例中规定的应税劳务行为中的“金融保险业”税目，应按规定缴纳营业税。</w:t>
      </w:r>
    </w:p>
    <w:p>
      <w:pPr>
        <w:spacing w:before="156" w:beforeLines="50" w:beforeAutospacing="0" w:after="156" w:afterLines="50" w:afterAutospacing="0" w:line="360" w:lineRule="auto"/>
        <w:ind w:firstLine="480" w:firstLineChars="200"/>
        <w:rPr>
          <w:rFonts w:ascii="宋体" w:hAnsi="宋体" w:eastAsia="宋体"/>
          <w:szCs w:val="24"/>
        </w:rPr>
      </w:pPr>
    </w:p>
    <w:p>
      <w:pPr>
        <w:pStyle w:val="2"/>
        <w:spacing w:before="50" w:beforeAutospacing="0" w:after="50" w:afterAutospacing="0" w:line="360" w:lineRule="auto"/>
        <w:ind w:firstLine="482" w:firstLineChars="200"/>
        <w:rPr>
          <w:rFonts w:ascii="宋体" w:hAnsi="宋体" w:eastAsia="宋体"/>
          <w:sz w:val="24"/>
          <w:szCs w:val="24"/>
        </w:rPr>
      </w:pPr>
      <w:r>
        <w:rPr>
          <w:rFonts w:hint="eastAsia" w:ascii="宋体" w:hAnsi="宋体" w:eastAsia="宋体"/>
          <w:sz w:val="24"/>
          <w:szCs w:val="24"/>
        </w:rPr>
        <w:t>法院裁判要旨</w:t>
      </w:r>
    </w:p>
    <w:p/>
    <w:p>
      <w:pPr>
        <w:pStyle w:val="3"/>
        <w:spacing w:before="50" w:beforeAutospacing="0" w:after="50" w:afterAutospacing="0" w:line="360" w:lineRule="auto"/>
        <w:ind w:firstLine="482" w:firstLineChars="200"/>
        <w:rPr>
          <w:rFonts w:ascii="宋体" w:hAnsi="宋体" w:eastAsia="宋体"/>
          <w:sz w:val="24"/>
          <w:szCs w:val="24"/>
        </w:rPr>
      </w:pPr>
      <w:r>
        <w:rPr>
          <w:rFonts w:hint="eastAsia" w:ascii="宋体" w:hAnsi="宋体" w:eastAsia="宋体"/>
          <w:sz w:val="24"/>
          <w:szCs w:val="24"/>
        </w:rPr>
        <w:t>一、关于税务机关能否根据实质课税原则独立认定涉案民事法律关系的问题</w:t>
      </w:r>
    </w:p>
    <w:p>
      <w:pPr>
        <w:spacing w:before="156" w:beforeLines="50" w:beforeAutospacing="0" w:after="156" w:afterLines="50" w:afterAutospacing="0" w:line="360" w:lineRule="auto"/>
        <w:ind w:firstLine="480" w:firstLineChars="200"/>
        <w:rPr>
          <w:rFonts w:ascii="宋体" w:hAnsi="宋体" w:eastAsia="宋体"/>
          <w:szCs w:val="24"/>
        </w:rPr>
      </w:pPr>
      <w:r>
        <w:rPr>
          <w:rFonts w:hint="eastAsia" w:ascii="宋体" w:hAnsi="宋体" w:eastAsia="宋体"/>
          <w:color w:val="C55A11" w:themeColor="accent2" w:themeShade="BF"/>
          <w:szCs w:val="24"/>
        </w:rPr>
        <w:t>根据《</w:t>
      </w:r>
      <w:r>
        <w:fldChar w:fldCharType="begin"/>
      </w:r>
      <w:r>
        <w:instrText xml:space="preserve"> HYPERLINK "http://ssfb86.com/index/News/detail/newsid/1036.html" </w:instrText>
      </w:r>
      <w:r>
        <w:fldChar w:fldCharType="separate"/>
      </w:r>
      <w:r>
        <w:rPr>
          <w:rStyle w:val="7"/>
          <w:rFonts w:hint="eastAsia" w:ascii="宋体" w:hAnsi="宋体" w:eastAsia="宋体"/>
          <w:color w:val="C55A11" w:themeColor="accent2" w:themeShade="BF"/>
          <w:szCs w:val="24"/>
        </w:rPr>
        <w:t>中华人民共和国税收征收管理法</w:t>
      </w:r>
      <w:r>
        <w:rPr>
          <w:rStyle w:val="7"/>
          <w:rFonts w:hint="eastAsia" w:ascii="宋体" w:hAnsi="宋体" w:eastAsia="宋体"/>
          <w:color w:val="C55A11" w:themeColor="accent2" w:themeShade="BF"/>
          <w:szCs w:val="24"/>
        </w:rPr>
        <w:fldChar w:fldCharType="end"/>
      </w:r>
      <w:r>
        <w:rPr>
          <w:rFonts w:hint="eastAsia" w:ascii="宋体" w:hAnsi="宋体" w:eastAsia="宋体"/>
          <w:color w:val="C55A11" w:themeColor="accent2" w:themeShade="BF"/>
          <w:szCs w:val="24"/>
        </w:rPr>
        <w:t>》及相关规定，税务机关是主管税收工作的行政主体，承担管辖权范围内的各项税收、非税收入征管等法定职责。在坚持税务机关对实质民事交易关系认定负举证责任的前提下，允许税务机关基于确切理由自行认定民事法律关系，对民事交易秩序的稳定性和当事人权益并不构成威胁。因此，税务机关依据实质课税原则，根据当事人民事交易的实质内容自行、独立认定林某、陈某与</w:t>
      </w:r>
      <w:r>
        <w:rPr>
          <w:rFonts w:ascii="宋体" w:hAnsi="宋体" w:eastAsia="宋体"/>
          <w:color w:val="C55A11" w:themeColor="accent2" w:themeShade="BF"/>
          <w:szCs w:val="24"/>
        </w:rPr>
        <w:t>XL公司之间实际形成民间借贷法律关系，符合事实，也符合依据纳税人交易活动的实质而非表面形式予以征税的实质课税原则</w:t>
      </w:r>
      <w:r>
        <w:rPr>
          <w:rFonts w:ascii="宋体" w:hAnsi="宋体" w:eastAsia="宋体"/>
          <w:szCs w:val="24"/>
        </w:rPr>
        <w:t>。</w:t>
      </w:r>
    </w:p>
    <w:p>
      <w:pPr>
        <w:pStyle w:val="3"/>
        <w:spacing w:before="50" w:beforeAutospacing="0" w:after="50" w:afterAutospacing="0" w:line="360" w:lineRule="auto"/>
        <w:ind w:firstLine="482" w:firstLineChars="200"/>
        <w:rPr>
          <w:rFonts w:ascii="宋体" w:hAnsi="宋体" w:eastAsia="宋体"/>
          <w:sz w:val="24"/>
          <w:szCs w:val="24"/>
        </w:rPr>
      </w:pPr>
      <w:r>
        <w:rPr>
          <w:rFonts w:hint="eastAsia" w:ascii="宋体" w:hAnsi="宋体" w:eastAsia="宋体"/>
          <w:sz w:val="24"/>
          <w:szCs w:val="24"/>
        </w:rPr>
        <w:t>二、关于对案涉民间借贷利息收入应否征收营业税、个人所得税的问题</w:t>
      </w:r>
    </w:p>
    <w:p>
      <w:pPr>
        <w:spacing w:before="156" w:beforeLines="50" w:beforeAutospacing="0" w:after="156" w:afterLines="50" w:afterAutospacing="0" w:line="360" w:lineRule="auto"/>
        <w:ind w:firstLine="480" w:firstLineChars="200"/>
        <w:rPr>
          <w:rFonts w:ascii="宋体" w:hAnsi="宋体" w:eastAsia="宋体"/>
          <w:szCs w:val="24"/>
        </w:rPr>
      </w:pPr>
      <w:r>
        <w:rPr>
          <w:rFonts w:hint="eastAsia" w:ascii="宋体" w:hAnsi="宋体" w:eastAsia="宋体"/>
          <w:szCs w:val="24"/>
        </w:rPr>
        <w:t>根据《</w:t>
      </w:r>
      <w:r>
        <w:fldChar w:fldCharType="begin"/>
      </w:r>
      <w:r>
        <w:instrText xml:space="preserve"> HYPERLINK "http://ssfb86.com/index/News/detail/newsid/1036.html" </w:instrText>
      </w:r>
      <w:r>
        <w:fldChar w:fldCharType="separate"/>
      </w:r>
      <w:r>
        <w:rPr>
          <w:rStyle w:val="7"/>
          <w:rFonts w:hint="eastAsia" w:ascii="宋体" w:hAnsi="宋体" w:eastAsia="宋体"/>
          <w:szCs w:val="24"/>
        </w:rPr>
        <w:t>中华人民共和国税收征收管理法</w:t>
      </w:r>
      <w:r>
        <w:rPr>
          <w:rStyle w:val="7"/>
          <w:rFonts w:hint="eastAsia" w:ascii="宋体" w:hAnsi="宋体" w:eastAsia="宋体"/>
          <w:szCs w:val="24"/>
        </w:rPr>
        <w:fldChar w:fldCharType="end"/>
      </w:r>
      <w:r>
        <w:rPr>
          <w:rFonts w:hint="eastAsia" w:ascii="宋体" w:hAnsi="宋体" w:eastAsia="宋体"/>
          <w:szCs w:val="24"/>
        </w:rPr>
        <w:t>》第三条第一款规定，税收的开征、停征以及减税、免税、退税、补税，依照法律的规定执行；法律授权国务院规定的，依照国务院制定的行政法规的规定执行。税收法定是税收征收的基本原则，营业税、增值税与个人所得税属于不同税种，在原理、税基、计算方法、调节重点等方面均不相同，对已经征收营业税或者增值税的收入再征收个人所得税，并不存在重复征税问题。因此，</w:t>
      </w:r>
      <w:r>
        <w:rPr>
          <w:rFonts w:hint="eastAsia" w:ascii="宋体" w:hAnsi="宋体" w:eastAsia="宋体"/>
          <w:color w:val="C55A11" w:themeColor="accent2" w:themeShade="BF"/>
          <w:szCs w:val="24"/>
        </w:rPr>
        <w:t>对民间借贷取得的利息收入，纳税人既需要依法缴纳营业税或者增值税，也应依法缴纳个人所得税</w:t>
      </w:r>
      <w:r>
        <w:rPr>
          <w:rFonts w:hint="eastAsia" w:ascii="宋体" w:hAnsi="宋体" w:eastAsia="宋体"/>
          <w:szCs w:val="24"/>
        </w:rPr>
        <w:t>。</w:t>
      </w:r>
    </w:p>
    <w:p>
      <w:pPr>
        <w:spacing w:before="156" w:beforeLines="50" w:beforeAutospacing="0" w:after="156" w:afterLines="50" w:afterAutospacing="0" w:line="360" w:lineRule="auto"/>
        <w:ind w:firstLine="480" w:firstLineChars="200"/>
        <w:rPr>
          <w:rFonts w:ascii="宋体" w:hAnsi="宋体" w:eastAsia="宋体"/>
          <w:szCs w:val="24"/>
        </w:rPr>
      </w:pPr>
    </w:p>
    <w:p>
      <w:pPr>
        <w:spacing w:before="156" w:beforeLines="50" w:beforeAutospacing="0" w:after="156" w:afterLines="50" w:afterAutospacing="0" w:line="360" w:lineRule="auto"/>
        <w:ind w:firstLine="480" w:firstLineChars="200"/>
        <w:rPr>
          <w:rFonts w:hint="eastAsia" w:ascii="楷体" w:hAnsi="楷体" w:eastAsia="楷体"/>
          <w:szCs w:val="24"/>
        </w:rPr>
      </w:pPr>
      <w:r>
        <w:rPr>
          <w:rFonts w:hint="eastAsia" w:ascii="楷体" w:hAnsi="楷体" w:eastAsia="楷体"/>
          <w:szCs w:val="24"/>
        </w:rPr>
        <w:t>【思考：（1）</w:t>
      </w:r>
      <w:r>
        <w:rPr>
          <w:rFonts w:hint="eastAsia" w:ascii="楷体" w:hAnsi="楷体" w:eastAsia="楷体"/>
          <w:color w:val="0070C0"/>
          <w:szCs w:val="24"/>
        </w:rPr>
        <w:t>当事人以合同违约金为名，达收利息之实，是否涉嫌避税？对</w:t>
      </w:r>
      <w:r>
        <w:rPr>
          <w:rFonts w:ascii="宋体" w:hAnsi="宋体" w:eastAsia="宋体"/>
          <w:color w:val="0070C0"/>
          <w:szCs w:val="24"/>
        </w:rPr>
        <w:t>XL</w:t>
      </w:r>
      <w:r>
        <w:rPr>
          <w:rFonts w:ascii="楷体" w:hAnsi="楷体" w:eastAsia="楷体"/>
          <w:color w:val="0070C0"/>
          <w:szCs w:val="24"/>
        </w:rPr>
        <w:t>公司</w:t>
      </w:r>
      <w:r>
        <w:rPr>
          <w:rFonts w:hint="eastAsia" w:ascii="楷体" w:hAnsi="楷体" w:eastAsia="楷体"/>
          <w:color w:val="0070C0"/>
          <w:szCs w:val="24"/>
        </w:rPr>
        <w:t>是否应追究未按规定代扣代缴的法律责任？（2）鉴于X</w:t>
      </w:r>
      <w:r>
        <w:rPr>
          <w:rFonts w:ascii="楷体" w:hAnsi="楷体" w:eastAsia="楷体"/>
          <w:color w:val="0070C0"/>
          <w:szCs w:val="24"/>
        </w:rPr>
        <w:t>L</w:t>
      </w:r>
      <w:r>
        <w:rPr>
          <w:rFonts w:hint="eastAsia" w:ascii="楷体" w:hAnsi="楷体" w:eastAsia="楷体"/>
          <w:color w:val="0070C0"/>
          <w:szCs w:val="24"/>
        </w:rPr>
        <w:t>公司未按规定代扣代缴利息个税，是否不应加收林某、陈某的滞纳金？】</w:t>
      </w:r>
    </w:p>
    <w:p>
      <w:pPr>
        <w:spacing w:before="156" w:beforeLines="50" w:beforeAutospacing="0" w:after="156" w:afterLines="50" w:afterAutospacing="0" w:line="360" w:lineRule="auto"/>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47B"/>
    <w:rsid w:val="00016CCE"/>
    <w:rsid w:val="00022D55"/>
    <w:rsid w:val="00032E3D"/>
    <w:rsid w:val="00040270"/>
    <w:rsid w:val="00043834"/>
    <w:rsid w:val="00050B5C"/>
    <w:rsid w:val="000568DE"/>
    <w:rsid w:val="0006102B"/>
    <w:rsid w:val="00065BA9"/>
    <w:rsid w:val="00066917"/>
    <w:rsid w:val="000731B6"/>
    <w:rsid w:val="000828D5"/>
    <w:rsid w:val="00093ACC"/>
    <w:rsid w:val="00100939"/>
    <w:rsid w:val="0010174F"/>
    <w:rsid w:val="00120194"/>
    <w:rsid w:val="00126C60"/>
    <w:rsid w:val="0018253C"/>
    <w:rsid w:val="00183FED"/>
    <w:rsid w:val="00186ECF"/>
    <w:rsid w:val="001D0127"/>
    <w:rsid w:val="001D3F4D"/>
    <w:rsid w:val="001F7041"/>
    <w:rsid w:val="00221EDC"/>
    <w:rsid w:val="0022440A"/>
    <w:rsid w:val="002479E5"/>
    <w:rsid w:val="00255106"/>
    <w:rsid w:val="002A2733"/>
    <w:rsid w:val="002B299C"/>
    <w:rsid w:val="002B4073"/>
    <w:rsid w:val="002D373B"/>
    <w:rsid w:val="002E29FC"/>
    <w:rsid w:val="002F419C"/>
    <w:rsid w:val="00306CDF"/>
    <w:rsid w:val="00307CB1"/>
    <w:rsid w:val="003160A2"/>
    <w:rsid w:val="003450B5"/>
    <w:rsid w:val="00364430"/>
    <w:rsid w:val="00383A87"/>
    <w:rsid w:val="003B300E"/>
    <w:rsid w:val="003F714A"/>
    <w:rsid w:val="0040239C"/>
    <w:rsid w:val="004062A4"/>
    <w:rsid w:val="00412A5E"/>
    <w:rsid w:val="00427EEE"/>
    <w:rsid w:val="004326F7"/>
    <w:rsid w:val="004740C5"/>
    <w:rsid w:val="004748DC"/>
    <w:rsid w:val="00493D98"/>
    <w:rsid w:val="004A5E3E"/>
    <w:rsid w:val="004A6C2B"/>
    <w:rsid w:val="004C171E"/>
    <w:rsid w:val="004D0CC9"/>
    <w:rsid w:val="004D2FA3"/>
    <w:rsid w:val="004E32FA"/>
    <w:rsid w:val="004E76FD"/>
    <w:rsid w:val="004F4243"/>
    <w:rsid w:val="00524ADF"/>
    <w:rsid w:val="00525169"/>
    <w:rsid w:val="005313D8"/>
    <w:rsid w:val="00541787"/>
    <w:rsid w:val="00545DF8"/>
    <w:rsid w:val="00550878"/>
    <w:rsid w:val="005A11B0"/>
    <w:rsid w:val="005B1EC2"/>
    <w:rsid w:val="005C5071"/>
    <w:rsid w:val="0060104E"/>
    <w:rsid w:val="00624DCA"/>
    <w:rsid w:val="00625239"/>
    <w:rsid w:val="00625311"/>
    <w:rsid w:val="00635D1C"/>
    <w:rsid w:val="00652C01"/>
    <w:rsid w:val="00660828"/>
    <w:rsid w:val="00663E5B"/>
    <w:rsid w:val="006743CF"/>
    <w:rsid w:val="00676A40"/>
    <w:rsid w:val="00682742"/>
    <w:rsid w:val="00687828"/>
    <w:rsid w:val="006917CA"/>
    <w:rsid w:val="006A1A52"/>
    <w:rsid w:val="006C209F"/>
    <w:rsid w:val="006D16C6"/>
    <w:rsid w:val="006E357B"/>
    <w:rsid w:val="006E3E26"/>
    <w:rsid w:val="006E49CF"/>
    <w:rsid w:val="006E76EE"/>
    <w:rsid w:val="0070349D"/>
    <w:rsid w:val="00720F29"/>
    <w:rsid w:val="00721B5A"/>
    <w:rsid w:val="007440D2"/>
    <w:rsid w:val="00752CF1"/>
    <w:rsid w:val="0077120C"/>
    <w:rsid w:val="00783C34"/>
    <w:rsid w:val="007941D7"/>
    <w:rsid w:val="007969AE"/>
    <w:rsid w:val="007A4003"/>
    <w:rsid w:val="007A6F96"/>
    <w:rsid w:val="007B1337"/>
    <w:rsid w:val="007C0D6A"/>
    <w:rsid w:val="007E479C"/>
    <w:rsid w:val="007F10A1"/>
    <w:rsid w:val="00824111"/>
    <w:rsid w:val="00840B39"/>
    <w:rsid w:val="008444D3"/>
    <w:rsid w:val="0085176F"/>
    <w:rsid w:val="00851D05"/>
    <w:rsid w:val="00856CFA"/>
    <w:rsid w:val="00870D2E"/>
    <w:rsid w:val="00870EEF"/>
    <w:rsid w:val="00893040"/>
    <w:rsid w:val="008C45BD"/>
    <w:rsid w:val="008F2162"/>
    <w:rsid w:val="008F65F4"/>
    <w:rsid w:val="008F765D"/>
    <w:rsid w:val="00920A9C"/>
    <w:rsid w:val="00922D28"/>
    <w:rsid w:val="00935BF3"/>
    <w:rsid w:val="009433C9"/>
    <w:rsid w:val="00945251"/>
    <w:rsid w:val="00947280"/>
    <w:rsid w:val="00974FFF"/>
    <w:rsid w:val="00986FCA"/>
    <w:rsid w:val="009A47F3"/>
    <w:rsid w:val="009C660E"/>
    <w:rsid w:val="009D3757"/>
    <w:rsid w:val="009E03FC"/>
    <w:rsid w:val="009E5431"/>
    <w:rsid w:val="00A2160E"/>
    <w:rsid w:val="00A2487D"/>
    <w:rsid w:val="00A24AE0"/>
    <w:rsid w:val="00A45E2B"/>
    <w:rsid w:val="00A5447B"/>
    <w:rsid w:val="00A62E79"/>
    <w:rsid w:val="00A97381"/>
    <w:rsid w:val="00AB4705"/>
    <w:rsid w:val="00AE3ECF"/>
    <w:rsid w:val="00AF0236"/>
    <w:rsid w:val="00B00B6D"/>
    <w:rsid w:val="00B02133"/>
    <w:rsid w:val="00B0506B"/>
    <w:rsid w:val="00B123D6"/>
    <w:rsid w:val="00B34591"/>
    <w:rsid w:val="00B46459"/>
    <w:rsid w:val="00B47B0C"/>
    <w:rsid w:val="00B514B3"/>
    <w:rsid w:val="00B938E8"/>
    <w:rsid w:val="00B93FD3"/>
    <w:rsid w:val="00B954BC"/>
    <w:rsid w:val="00BA3407"/>
    <w:rsid w:val="00BA66BD"/>
    <w:rsid w:val="00BB5115"/>
    <w:rsid w:val="00BB55AF"/>
    <w:rsid w:val="00BB7B96"/>
    <w:rsid w:val="00C01FBF"/>
    <w:rsid w:val="00C148C3"/>
    <w:rsid w:val="00C22DA0"/>
    <w:rsid w:val="00C358D7"/>
    <w:rsid w:val="00C52768"/>
    <w:rsid w:val="00C556F9"/>
    <w:rsid w:val="00C64F1F"/>
    <w:rsid w:val="00C87654"/>
    <w:rsid w:val="00C96C5C"/>
    <w:rsid w:val="00CA7FCD"/>
    <w:rsid w:val="00CB153A"/>
    <w:rsid w:val="00CB4754"/>
    <w:rsid w:val="00CE2EB7"/>
    <w:rsid w:val="00CF4530"/>
    <w:rsid w:val="00D04BB0"/>
    <w:rsid w:val="00D146F3"/>
    <w:rsid w:val="00D25BAC"/>
    <w:rsid w:val="00D34820"/>
    <w:rsid w:val="00D3501C"/>
    <w:rsid w:val="00D431CD"/>
    <w:rsid w:val="00D45446"/>
    <w:rsid w:val="00D5377F"/>
    <w:rsid w:val="00D5630C"/>
    <w:rsid w:val="00D629EB"/>
    <w:rsid w:val="00D721FC"/>
    <w:rsid w:val="00D96D98"/>
    <w:rsid w:val="00DA07EF"/>
    <w:rsid w:val="00DB404D"/>
    <w:rsid w:val="00DB6F35"/>
    <w:rsid w:val="00DC2D92"/>
    <w:rsid w:val="00DE7549"/>
    <w:rsid w:val="00E043EE"/>
    <w:rsid w:val="00E059F6"/>
    <w:rsid w:val="00E4707A"/>
    <w:rsid w:val="00E6119F"/>
    <w:rsid w:val="00E621B3"/>
    <w:rsid w:val="00E86883"/>
    <w:rsid w:val="00E95299"/>
    <w:rsid w:val="00E96E31"/>
    <w:rsid w:val="00EA1047"/>
    <w:rsid w:val="00EA1817"/>
    <w:rsid w:val="00EB4965"/>
    <w:rsid w:val="00ED3216"/>
    <w:rsid w:val="00EF4245"/>
    <w:rsid w:val="00F07213"/>
    <w:rsid w:val="00F3495D"/>
    <w:rsid w:val="00F36153"/>
    <w:rsid w:val="00F41CB9"/>
    <w:rsid w:val="00F5520A"/>
    <w:rsid w:val="00F6190D"/>
    <w:rsid w:val="00F61988"/>
    <w:rsid w:val="00F77827"/>
    <w:rsid w:val="00F854DA"/>
    <w:rsid w:val="00FA38A9"/>
    <w:rsid w:val="00FB7617"/>
    <w:rsid w:val="00FF1924"/>
    <w:rsid w:val="131E5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line="312" w:lineRule="auto"/>
      <w:jc w:val="both"/>
    </w:pPr>
    <w:rPr>
      <w:rFonts w:ascii="仿宋" w:hAnsi="仿宋" w:eastAsia="仿宋" w:cstheme="minorBidi"/>
      <w:kern w:val="2"/>
      <w:sz w:val="24"/>
      <w:szCs w:val="28"/>
      <w:lang w:val="en-US" w:eastAsia="zh-CN" w:bidi="ar-SA"/>
    </w:rPr>
  </w:style>
  <w:style w:type="paragraph" w:styleId="2">
    <w:name w:val="heading 1"/>
    <w:basedOn w:val="1"/>
    <w:next w:val="1"/>
    <w:link w:val="8"/>
    <w:qFormat/>
    <w:uiPriority w:val="9"/>
    <w:pPr>
      <w:jc w:val="center"/>
      <w:outlineLvl w:val="0"/>
    </w:pPr>
    <w:rPr>
      <w:b/>
      <w:bCs/>
      <w:sz w:val="36"/>
      <w:szCs w:val="40"/>
    </w:rPr>
  </w:style>
  <w:style w:type="paragraph" w:styleId="3">
    <w:name w:val="heading 2"/>
    <w:basedOn w:val="1"/>
    <w:next w:val="1"/>
    <w:link w:val="1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4">
    <w:name w:val="Normal (Web)"/>
    <w:basedOn w:val="1"/>
    <w:semiHidden/>
    <w:unhideWhenUsed/>
    <w:qFormat/>
    <w:uiPriority w:val="99"/>
    <w:pPr>
      <w:spacing w:line="240" w:lineRule="auto"/>
      <w:jc w:val="left"/>
    </w:pPr>
    <w:rPr>
      <w:rFonts w:ascii="宋体" w:hAnsi="宋体" w:eastAsia="宋体" w:cs="宋体"/>
      <w:kern w:val="0"/>
      <w:szCs w:val="24"/>
    </w:rPr>
  </w:style>
  <w:style w:type="character" w:styleId="7">
    <w:name w:val="Hyperlink"/>
    <w:basedOn w:val="6"/>
    <w:unhideWhenUsed/>
    <w:uiPriority w:val="99"/>
    <w:rPr>
      <w:color w:val="0563C1" w:themeColor="hyperlink"/>
      <w:u w:val="single"/>
      <w14:textFill>
        <w14:solidFill>
          <w14:schemeClr w14:val="hlink"/>
        </w14:solidFill>
      </w14:textFill>
    </w:rPr>
  </w:style>
  <w:style w:type="character" w:customStyle="1" w:styleId="8">
    <w:name w:val="标题 1 字符"/>
    <w:basedOn w:val="6"/>
    <w:link w:val="2"/>
    <w:uiPriority w:val="9"/>
    <w:rPr>
      <w:rFonts w:ascii="仿宋" w:hAnsi="仿宋" w:eastAsia="仿宋"/>
      <w:b/>
      <w:bCs/>
      <w:sz w:val="36"/>
      <w:szCs w:val="40"/>
    </w:rPr>
  </w:style>
  <w:style w:type="paragraph" w:styleId="9">
    <w:name w:val="No Spacing"/>
    <w:qFormat/>
    <w:uiPriority w:val="1"/>
    <w:pPr>
      <w:spacing w:before="0" w:beforeAutospacing="0" w:after="0" w:afterAutospacing="0" w:line="240" w:lineRule="auto"/>
    </w:pPr>
    <w:rPr>
      <w:rFonts w:asciiTheme="minorHAnsi" w:hAnsiTheme="minorHAnsi" w:eastAsiaTheme="minorEastAsia" w:cstheme="minorBidi"/>
      <w:kern w:val="2"/>
      <w:sz w:val="21"/>
      <w:szCs w:val="22"/>
      <w:lang w:val="en-US" w:eastAsia="zh-CN" w:bidi="ar-SA"/>
    </w:rPr>
  </w:style>
  <w:style w:type="character" w:customStyle="1" w:styleId="10">
    <w:name w:val="标题 2 字符"/>
    <w:basedOn w:val="6"/>
    <w:link w:val="3"/>
    <w:uiPriority w:val="9"/>
    <w:rPr>
      <w:rFonts w:asciiTheme="majorHAnsi" w:hAnsiTheme="majorHAnsi" w:eastAsiaTheme="majorEastAsia" w:cstheme="majorBidi"/>
      <w:b/>
      <w:bCs/>
      <w:sz w:val="32"/>
      <w:szCs w:val="32"/>
    </w:rPr>
  </w:style>
  <w:style w:type="character" w:customStyle="1" w:styleId="11">
    <w:name w:val="Unresolved Mention"/>
    <w:basedOn w:val="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324</Words>
  <Characters>1848</Characters>
  <Lines>15</Lines>
  <Paragraphs>4</Paragraphs>
  <TotalTime>2</TotalTime>
  <ScaleCrop>false</ScaleCrop>
  <LinksUpToDate>false</LinksUpToDate>
  <CharactersWithSpaces>2168</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2022-01-17T12:43:00Z</dcterms:created>
  <dc:creator>A2949</dc:creator>
  <cp:lastModifiedBy>默默</cp:lastModifiedBy>
  <dcterms:modified xsi:type="dcterms:W3CDTF">2022-02-14T13:48:11Z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