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lang w:val="en-US" w:eastAsia="zh-CN" w:bidi="ar"/>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关于印发促进工业经济平稳增长的若干政策的通知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"http://ssfb86.com/index/News/detail/newsid/10136.html" </w:instrText>
      </w:r>
      <w:r>
        <w:rPr>
          <w:rFonts w:hint="eastAsia" w:ascii="宋体" w:hAnsi="宋体" w:eastAsia="宋体" w:cs="宋体"/>
          <w:sz w:val="24"/>
          <w:szCs w:val="24"/>
        </w:rPr>
        <w:fldChar w:fldCharType="separate"/>
      </w:r>
      <w:r>
        <w:rPr>
          <w:rStyle w:val="6"/>
          <w:rFonts w:hint="eastAsia" w:ascii="宋体" w:hAnsi="宋体" w:eastAsia="宋体" w:cs="宋体"/>
          <w:sz w:val="24"/>
          <w:szCs w:val="24"/>
        </w:rPr>
        <w:t>发改产业〔2022〕273号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各省、自治区、直辖市人民政府，新疆生产建设兵团，国务院各部委、各直属机构：</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当前我国经济发展面临需求收缩、供给冲击、预期转弱三重压力，工业经济稳定增长的困难和挑战明显增多。在各地方和有关部门共同努力下，2021年四季度以来工业经济主要指标逐步改善，振作工业经济取得了阶段性成效。为进一步巩固工业经济增长势头，抓紧做好预调微调和跨周期调节，确保全年工业经济运行在合理区间，经国务院同意，现提出以下政策措施。</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b/>
          <w:sz w:val="24"/>
          <w:szCs w:val="24"/>
          <w:lang w:val="en-US" w:eastAsia="zh-CN"/>
        </w:rPr>
      </w:pPr>
      <w:r>
        <w:rPr>
          <w:rFonts w:hint="eastAsia"/>
          <w:b/>
          <w:sz w:val="24"/>
          <w:szCs w:val="24"/>
          <w:lang w:val="en-US" w:eastAsia="zh-CN"/>
        </w:rPr>
        <w:t>  一、关于财政税费政策</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w:t>
      </w:r>
      <w:r>
        <w:rPr>
          <w:rFonts w:hint="eastAsia" w:ascii="宋体" w:hAnsi="宋体" w:eastAsia="宋体" w:cs="宋体"/>
          <w:i w:val="0"/>
          <w:caps w:val="0"/>
          <w:color w:val="C55A11" w:themeColor="accent2" w:themeShade="BF"/>
          <w:spacing w:val="0"/>
          <w:kern w:val="0"/>
          <w:sz w:val="24"/>
          <w:szCs w:val="24"/>
          <w:bdr w:val="none" w:color="auto" w:sz="0" w:space="0"/>
          <w:lang w:val="en-US" w:eastAsia="zh-CN" w:bidi="ar"/>
        </w:rPr>
        <w:t>加大中小微企业设备器具税前扣除力度，中小微企业</w:t>
      </w:r>
      <w:r>
        <w:rPr>
          <w:rFonts w:hint="eastAsia" w:ascii="宋体" w:hAnsi="宋体" w:eastAsia="宋体" w:cs="宋体"/>
          <w:b/>
          <w:bCs/>
          <w:i w:val="0"/>
          <w:caps w:val="0"/>
          <w:color w:val="C55A11" w:themeColor="accent2" w:themeShade="BF"/>
          <w:spacing w:val="0"/>
          <w:kern w:val="0"/>
          <w:sz w:val="24"/>
          <w:szCs w:val="24"/>
          <w:bdr w:val="none" w:color="auto" w:sz="0" w:space="0"/>
          <w:lang w:val="en-US" w:eastAsia="zh-CN" w:bidi="ar"/>
        </w:rPr>
        <w:t>2022年度内新购置</w:t>
      </w:r>
      <w:r>
        <w:rPr>
          <w:rFonts w:hint="eastAsia" w:ascii="宋体" w:hAnsi="宋体" w:eastAsia="宋体" w:cs="宋体"/>
          <w:i w:val="0"/>
          <w:caps w:val="0"/>
          <w:color w:val="C55A11" w:themeColor="accent2" w:themeShade="BF"/>
          <w:spacing w:val="0"/>
          <w:kern w:val="0"/>
          <w:sz w:val="24"/>
          <w:szCs w:val="24"/>
          <w:bdr w:val="none" w:color="auto" w:sz="0" w:space="0"/>
          <w:lang w:val="en-US" w:eastAsia="zh-CN" w:bidi="ar"/>
        </w:rPr>
        <w:t>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r>
        <w:rPr>
          <w:rFonts w:hint="eastAsia" w:ascii="宋体" w:hAnsi="宋体" w:eastAsia="宋体" w:cs="宋体"/>
          <w:i w:val="0"/>
          <w:caps w:val="0"/>
          <w:color w:val="565862"/>
          <w:spacing w:val="0"/>
          <w:kern w:val="0"/>
          <w:sz w:val="24"/>
          <w:szCs w:val="24"/>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bdr w:val="none" w:color="auto" w:sz="0" w:space="0"/>
          <w:lang w:val="en-US" w:eastAsia="zh-CN" w:bidi="ar"/>
        </w:rPr>
      </w:pPr>
      <w:r>
        <w:rPr>
          <w:rFonts w:hint="eastAsia" w:ascii="楷体" w:hAnsi="楷体" w:eastAsia="楷体" w:cs="楷体"/>
          <w:i w:val="0"/>
          <w:caps w:val="0"/>
          <w:color w:val="0070C0"/>
          <w:spacing w:val="0"/>
          <w:kern w:val="0"/>
          <w:sz w:val="24"/>
          <w:szCs w:val="24"/>
          <w:bdr w:val="none" w:color="auto" w:sz="0" w:space="0"/>
          <w:lang w:val="en-US" w:eastAsia="zh-CN" w:bidi="ar"/>
        </w:rPr>
        <w:t>【提示：</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lang w:val="en-US" w:eastAsia="zh-CN" w:bidi="ar"/>
        </w:rPr>
      </w:pPr>
      <w:r>
        <w:rPr>
          <w:rFonts w:hint="eastAsia" w:ascii="楷体" w:hAnsi="楷体" w:eastAsia="楷体" w:cs="楷体"/>
          <w:i w:val="0"/>
          <w:caps w:val="0"/>
          <w:color w:val="0070C0"/>
          <w:spacing w:val="0"/>
          <w:kern w:val="0"/>
          <w:sz w:val="24"/>
          <w:szCs w:val="24"/>
          <w:bdr w:val="none" w:color="auto" w:sz="0" w:space="0"/>
          <w:lang w:val="en-US" w:eastAsia="zh-CN" w:bidi="ar"/>
        </w:rPr>
        <w:t>（1）上述行业的划分，参照</w:t>
      </w:r>
      <w:r>
        <w:rPr>
          <w:rFonts w:hint="eastAsia" w:ascii="楷体" w:hAnsi="楷体" w:eastAsia="楷体" w:cs="楷体"/>
          <w:i w:val="0"/>
          <w:caps w:val="0"/>
          <w:color w:val="0070C0"/>
          <w:spacing w:val="0"/>
          <w:kern w:val="0"/>
          <w:sz w:val="24"/>
          <w:szCs w:val="24"/>
          <w:lang w:val="en-US" w:eastAsia="zh-CN" w:bidi="ar"/>
        </w:rPr>
        <w:t>《关于批准发布《国民经济行业分类》国家标准的公告》（</w:t>
      </w:r>
      <w:r>
        <w:rPr>
          <w:rFonts w:hint="eastAsia" w:ascii="楷体" w:hAnsi="楷体" w:eastAsia="楷体" w:cs="楷体"/>
          <w:i w:val="0"/>
          <w:caps w:val="0"/>
          <w:color w:val="0070C0"/>
          <w:spacing w:val="0"/>
          <w:kern w:val="0"/>
          <w:sz w:val="24"/>
          <w:szCs w:val="24"/>
          <w:lang w:val="en-US" w:eastAsia="zh-CN" w:bidi="ar"/>
        </w:rPr>
        <w:fldChar w:fldCharType="begin"/>
      </w:r>
      <w:r>
        <w:rPr>
          <w:rFonts w:hint="eastAsia" w:ascii="楷体" w:hAnsi="楷体" w:eastAsia="楷体" w:cs="楷体"/>
          <w:i w:val="0"/>
          <w:caps w:val="0"/>
          <w:color w:val="0070C0"/>
          <w:spacing w:val="0"/>
          <w:kern w:val="0"/>
          <w:sz w:val="24"/>
          <w:szCs w:val="24"/>
          <w:lang w:val="en-US" w:eastAsia="zh-CN" w:bidi="ar"/>
        </w:rPr>
        <w:instrText xml:space="preserve"> HYPERLINK "http://ssfb86.com/index/News/detail/newsid/528.html" </w:instrText>
      </w:r>
      <w:r>
        <w:rPr>
          <w:rFonts w:hint="eastAsia" w:ascii="楷体" w:hAnsi="楷体" w:eastAsia="楷体" w:cs="楷体"/>
          <w:i w:val="0"/>
          <w:caps w:val="0"/>
          <w:color w:val="0070C0"/>
          <w:spacing w:val="0"/>
          <w:kern w:val="0"/>
          <w:sz w:val="24"/>
          <w:szCs w:val="24"/>
          <w:lang w:val="en-US" w:eastAsia="zh-CN" w:bidi="ar"/>
        </w:rPr>
        <w:fldChar w:fldCharType="separate"/>
      </w:r>
      <w:r>
        <w:rPr>
          <w:rStyle w:val="6"/>
          <w:rFonts w:hint="eastAsia" w:ascii="楷体" w:hAnsi="楷体" w:eastAsia="楷体" w:cs="楷体"/>
          <w:i w:val="0"/>
          <w:caps w:val="0"/>
          <w:color w:val="0070C0"/>
          <w:spacing w:val="0"/>
          <w:kern w:val="0"/>
          <w:sz w:val="24"/>
          <w:szCs w:val="24"/>
          <w:lang w:val="en-US" w:eastAsia="zh-CN" w:bidi="ar"/>
        </w:rPr>
        <w:t>中华人民共和国国家标准公告2017年第17号</w:t>
      </w:r>
      <w:r>
        <w:rPr>
          <w:rFonts w:hint="eastAsia" w:ascii="楷体" w:hAnsi="楷体" w:eastAsia="楷体" w:cs="楷体"/>
          <w:i w:val="0"/>
          <w:caps w:val="0"/>
          <w:color w:val="0070C0"/>
          <w:spacing w:val="0"/>
          <w:kern w:val="0"/>
          <w:sz w:val="24"/>
          <w:szCs w:val="24"/>
          <w:lang w:val="en-US" w:eastAsia="zh-CN" w:bidi="ar"/>
        </w:rPr>
        <w:fldChar w:fldCharType="end"/>
      </w:r>
      <w:r>
        <w:rPr>
          <w:rFonts w:hint="eastAsia" w:ascii="楷体" w:hAnsi="楷体" w:eastAsia="楷体" w:cs="楷体"/>
          <w:i w:val="0"/>
          <w:caps w:val="0"/>
          <w:color w:val="0070C0"/>
          <w:spacing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宋体" w:hAnsi="宋体" w:eastAsia="宋体" w:cs="宋体"/>
          <w:i w:val="0"/>
          <w:caps w:val="0"/>
          <w:color w:val="000000"/>
          <w:spacing w:val="0"/>
          <w:sz w:val="24"/>
          <w:szCs w:val="24"/>
          <w:bdr w:val="none" w:color="auto" w:sz="0" w:space="0"/>
          <w:shd w:val="clear" w:fill="FFFFFF"/>
        </w:rPr>
      </w:pPr>
      <w:r>
        <w:rPr>
          <w:rFonts w:hint="eastAsia" w:ascii="楷体" w:hAnsi="楷体" w:eastAsia="楷体" w:cs="楷体"/>
          <w:i w:val="0"/>
          <w:caps w:val="0"/>
          <w:color w:val="0070C0"/>
          <w:spacing w:val="0"/>
          <w:kern w:val="0"/>
          <w:sz w:val="24"/>
          <w:szCs w:val="24"/>
          <w:lang w:val="en-US" w:eastAsia="zh-CN" w:bidi="ar"/>
        </w:rPr>
        <w:t>（2）折旧年限的划分，详见：</w:t>
      </w:r>
      <w:r>
        <w:rPr>
          <w:rFonts w:hint="eastAsia" w:ascii="楷体" w:hAnsi="楷体" w:eastAsia="楷体" w:cs="楷体"/>
          <w:i w:val="0"/>
          <w:caps w:val="0"/>
          <w:color w:val="0070C0"/>
          <w:spacing w:val="0"/>
          <w:sz w:val="24"/>
          <w:szCs w:val="24"/>
          <w:bdr w:val="none" w:color="auto" w:sz="0" w:space="0"/>
          <w:shd w:val="clear" w:fill="FFFFFF"/>
        </w:rPr>
        <w:t>《</w:t>
      </w:r>
      <w:r>
        <w:rPr>
          <w:rFonts w:hint="eastAsia" w:ascii="楷体" w:hAnsi="楷体" w:eastAsia="楷体" w:cs="楷体"/>
          <w:i w:val="0"/>
          <w:caps w:val="0"/>
          <w:color w:val="0070C0"/>
          <w:spacing w:val="0"/>
          <w:sz w:val="24"/>
          <w:szCs w:val="24"/>
          <w:u w:val="single"/>
          <w:bdr w:val="none" w:color="auto" w:sz="0" w:space="0"/>
          <w:shd w:val="clear" w:fill="FFFFFF"/>
        </w:rPr>
        <w:fldChar w:fldCharType="begin"/>
      </w:r>
      <w:r>
        <w:rPr>
          <w:rFonts w:hint="eastAsia" w:ascii="楷体" w:hAnsi="楷体" w:eastAsia="楷体" w:cs="楷体"/>
          <w:i w:val="0"/>
          <w:caps w:val="0"/>
          <w:color w:val="0070C0"/>
          <w:spacing w:val="0"/>
          <w:sz w:val="24"/>
          <w:szCs w:val="24"/>
          <w:u w:val="single"/>
          <w:bdr w:val="none" w:color="auto" w:sz="0" w:space="0"/>
          <w:shd w:val="clear" w:fill="FFFFFF"/>
        </w:rPr>
        <w:instrText xml:space="preserve"> HYPERLINK "http://ssfb86.com/index/News/detail/newsid/7083.html" </w:instrText>
      </w:r>
      <w:r>
        <w:rPr>
          <w:rFonts w:hint="eastAsia" w:ascii="楷体" w:hAnsi="楷体" w:eastAsia="楷体" w:cs="楷体"/>
          <w:i w:val="0"/>
          <w:caps w:val="0"/>
          <w:color w:val="0070C0"/>
          <w:spacing w:val="0"/>
          <w:sz w:val="24"/>
          <w:szCs w:val="24"/>
          <w:u w:val="single"/>
          <w:bdr w:val="none" w:color="auto" w:sz="0" w:space="0"/>
          <w:shd w:val="clear" w:fill="FFFFFF"/>
        </w:rPr>
        <w:fldChar w:fldCharType="separate"/>
      </w:r>
      <w:r>
        <w:rPr>
          <w:rStyle w:val="6"/>
          <w:rFonts w:hint="eastAsia" w:ascii="楷体" w:hAnsi="楷体" w:eastAsia="楷体" w:cs="楷体"/>
          <w:i w:val="0"/>
          <w:caps w:val="0"/>
          <w:color w:val="0070C0"/>
          <w:spacing w:val="0"/>
          <w:sz w:val="24"/>
          <w:szCs w:val="24"/>
          <w:u w:val="single"/>
          <w:bdr w:val="none" w:color="auto" w:sz="0" w:space="0"/>
          <w:shd w:val="clear" w:fill="FFFFFF"/>
        </w:rPr>
        <w:t>企业所得税法实施条例</w:t>
      </w:r>
      <w:r>
        <w:rPr>
          <w:rFonts w:hint="eastAsia" w:ascii="楷体" w:hAnsi="楷体" w:eastAsia="楷体" w:cs="楷体"/>
          <w:i w:val="0"/>
          <w:caps w:val="0"/>
          <w:color w:val="0070C0"/>
          <w:spacing w:val="0"/>
          <w:sz w:val="24"/>
          <w:szCs w:val="24"/>
          <w:u w:val="single"/>
          <w:bdr w:val="none" w:color="auto" w:sz="0" w:space="0"/>
          <w:shd w:val="clear" w:fill="FFFFFF"/>
        </w:rPr>
        <w:fldChar w:fldCharType="end"/>
      </w:r>
      <w:r>
        <w:rPr>
          <w:rFonts w:hint="eastAsia" w:ascii="楷体" w:hAnsi="楷体" w:eastAsia="楷体" w:cs="楷体"/>
          <w:i w:val="0"/>
          <w:caps w:val="0"/>
          <w:color w:val="0070C0"/>
          <w:spacing w:val="0"/>
          <w:sz w:val="24"/>
          <w:szCs w:val="24"/>
          <w:bdr w:val="none" w:color="auto" w:sz="0" w:space="0"/>
          <w:shd w:val="clear" w:fill="FFFFFF"/>
        </w:rPr>
        <w:t>》第六十条</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sz w:val="24"/>
          <w:szCs w:val="24"/>
          <w:bdr w:val="none" w:color="auto" w:sz="0" w:space="0"/>
          <w:lang w:eastAsia="zh-CN"/>
        </w:rPr>
      </w:pPr>
      <w:r>
        <w:rPr>
          <w:rFonts w:hint="eastAsia" w:ascii="楷体" w:hAnsi="楷体" w:eastAsia="楷体" w:cs="楷体"/>
          <w:i w:val="0"/>
          <w:caps w:val="0"/>
          <w:color w:val="0070C0"/>
          <w:spacing w:val="0"/>
          <w:kern w:val="0"/>
          <w:sz w:val="24"/>
          <w:szCs w:val="24"/>
          <w:lang w:val="en-US" w:eastAsia="zh-CN" w:bidi="ar"/>
        </w:rPr>
        <w:t>（3）新购置、设备器具的定义，详见《</w:t>
      </w:r>
      <w:r>
        <w:rPr>
          <w:rFonts w:hint="eastAsia" w:ascii="楷体" w:hAnsi="楷体" w:eastAsia="楷体" w:cs="楷体"/>
          <w:i w:val="0"/>
          <w:caps w:val="0"/>
          <w:color w:val="0070C0"/>
          <w:spacing w:val="0"/>
          <w:kern w:val="0"/>
          <w:sz w:val="24"/>
          <w:szCs w:val="24"/>
          <w:lang w:val="en-US" w:eastAsia="zh-CN" w:bidi="ar"/>
        </w:rPr>
        <w:t>关于设备 器具扣除有关企业所得税政策执行问题的公告》（</w:t>
      </w:r>
      <w:r>
        <w:rPr>
          <w:rFonts w:hint="eastAsia" w:ascii="楷体" w:hAnsi="楷体" w:eastAsia="楷体" w:cs="楷体"/>
          <w:i w:val="0"/>
          <w:caps w:val="0"/>
          <w:color w:val="0070C0"/>
          <w:spacing w:val="0"/>
          <w:sz w:val="24"/>
          <w:szCs w:val="24"/>
          <w:u w:val="single"/>
          <w:bdr w:val="none" w:color="auto" w:sz="0" w:space="0"/>
        </w:rPr>
        <w:fldChar w:fldCharType="begin"/>
      </w:r>
      <w:r>
        <w:rPr>
          <w:rFonts w:hint="eastAsia" w:ascii="楷体" w:hAnsi="楷体" w:eastAsia="楷体" w:cs="楷体"/>
          <w:i w:val="0"/>
          <w:caps w:val="0"/>
          <w:color w:val="0070C0"/>
          <w:spacing w:val="0"/>
          <w:sz w:val="24"/>
          <w:szCs w:val="24"/>
          <w:u w:val="single"/>
          <w:bdr w:val="none" w:color="auto" w:sz="0" w:space="0"/>
        </w:rPr>
        <w:instrText xml:space="preserve"> HYPERLINK "http://ssfb86.com/index/News/detail/newsid/306.html" </w:instrText>
      </w:r>
      <w:r>
        <w:rPr>
          <w:rFonts w:hint="eastAsia" w:ascii="楷体" w:hAnsi="楷体" w:eastAsia="楷体" w:cs="楷体"/>
          <w:i w:val="0"/>
          <w:caps w:val="0"/>
          <w:color w:val="0070C0"/>
          <w:spacing w:val="0"/>
          <w:sz w:val="24"/>
          <w:szCs w:val="24"/>
          <w:u w:val="single"/>
          <w:bdr w:val="none" w:color="auto" w:sz="0" w:space="0"/>
        </w:rPr>
        <w:fldChar w:fldCharType="separate"/>
      </w:r>
      <w:r>
        <w:rPr>
          <w:rStyle w:val="6"/>
          <w:rFonts w:hint="eastAsia" w:ascii="楷体" w:hAnsi="楷体" w:eastAsia="楷体" w:cs="楷体"/>
          <w:i w:val="0"/>
          <w:caps w:val="0"/>
          <w:color w:val="0070C0"/>
          <w:spacing w:val="0"/>
          <w:sz w:val="24"/>
          <w:szCs w:val="24"/>
          <w:u w:val="single"/>
          <w:bdr w:val="none" w:color="auto" w:sz="0" w:space="0"/>
        </w:rPr>
        <w:t>国家税务总局公告2018年第46号</w:t>
      </w:r>
      <w:r>
        <w:rPr>
          <w:rFonts w:hint="eastAsia" w:ascii="楷体" w:hAnsi="楷体" w:eastAsia="楷体" w:cs="楷体"/>
          <w:i w:val="0"/>
          <w:caps w:val="0"/>
          <w:color w:val="0070C0"/>
          <w:spacing w:val="0"/>
          <w:sz w:val="24"/>
          <w:szCs w:val="24"/>
          <w:u w:val="single"/>
          <w:bdr w:val="none" w:color="auto" w:sz="0" w:space="0"/>
        </w:rPr>
        <w:fldChar w:fldCharType="end"/>
      </w:r>
      <w:r>
        <w:rPr>
          <w:rFonts w:hint="eastAsia" w:ascii="楷体" w:hAnsi="楷体" w:eastAsia="楷体" w:cs="楷体"/>
          <w:i w:val="0"/>
          <w:caps w:val="0"/>
          <w:color w:val="0070C0"/>
          <w:spacing w:val="0"/>
          <w:sz w:val="24"/>
          <w:szCs w:val="24"/>
          <w:u w:val="none"/>
          <w:bdr w:val="none" w:color="auto" w:sz="0" w:space="0"/>
          <w:lang w:eastAsia="zh-CN"/>
        </w:rPr>
        <w:t>）</w:t>
      </w:r>
      <w:r>
        <w:rPr>
          <w:rFonts w:hint="eastAsia" w:ascii="楷体" w:hAnsi="楷体" w:eastAsia="楷体" w:cs="楷体"/>
          <w:i w:val="0"/>
          <w:caps w:val="0"/>
          <w:color w:val="0070C0"/>
          <w:spacing w:val="0"/>
          <w:sz w:val="24"/>
          <w:szCs w:val="24"/>
          <w:bdr w:val="none" w:color="auto" w:sz="0" w:space="0"/>
        </w:rPr>
        <w:t>第一条</w:t>
      </w:r>
      <w:r>
        <w:rPr>
          <w:rFonts w:hint="eastAsia" w:ascii="楷体" w:hAnsi="楷体" w:eastAsia="楷体" w:cs="楷体"/>
          <w:i w:val="0"/>
          <w:caps w:val="0"/>
          <w:color w:val="0070C0"/>
          <w:spacing w:val="0"/>
          <w:sz w:val="24"/>
          <w:szCs w:val="24"/>
          <w:bdr w:val="none" w:color="auto" w:sz="0" w:space="0"/>
          <w:lang w:eastAsia="zh-CN"/>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bdr w:val="none" w:color="auto" w:sz="0" w:space="0"/>
          <w:lang w:val="en-US" w:eastAsia="zh-CN" w:bidi="ar"/>
        </w:rPr>
      </w:pPr>
      <w:r>
        <w:rPr>
          <w:rFonts w:hint="eastAsia" w:ascii="楷体" w:hAnsi="楷体" w:eastAsia="楷体" w:cs="楷体"/>
          <w:i w:val="0"/>
          <w:caps w:val="0"/>
          <w:color w:val="0070C0"/>
          <w:spacing w:val="0"/>
          <w:kern w:val="0"/>
          <w:sz w:val="24"/>
          <w:szCs w:val="24"/>
          <w:lang w:val="en-US" w:eastAsia="zh-CN" w:bidi="ar"/>
        </w:rPr>
        <w:t>（4）对于正在所得税优惠期间的企业，是否适用上述政策，应作进一步筹划</w:t>
      </w:r>
      <w:r>
        <w:rPr>
          <w:rFonts w:hint="eastAsia" w:ascii="楷体" w:hAnsi="楷体" w:eastAsia="楷体" w:cs="楷体"/>
          <w:i w:val="0"/>
          <w:caps w:val="0"/>
          <w:color w:val="0070C0"/>
          <w:spacing w:val="0"/>
          <w:kern w:val="0"/>
          <w:sz w:val="24"/>
          <w:szCs w:val="24"/>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B050"/>
          <w:spacing w:val="0"/>
          <w:kern w:val="0"/>
          <w:sz w:val="24"/>
          <w:szCs w:val="24"/>
          <w:lang w:val="en-US" w:eastAsia="zh-CN" w:bidi="ar"/>
        </w:rPr>
      </w:pPr>
      <w:r>
        <w:rPr>
          <w:rFonts w:hint="eastAsia" w:ascii="楷体" w:hAnsi="楷体" w:eastAsia="楷体" w:cs="楷体"/>
          <w:i w:val="0"/>
          <w:caps w:val="0"/>
          <w:color w:val="00B050"/>
          <w:spacing w:val="0"/>
          <w:kern w:val="0"/>
          <w:sz w:val="24"/>
          <w:szCs w:val="24"/>
          <w:lang w:val="en-US" w:eastAsia="zh-CN" w:bidi="ar"/>
        </w:rPr>
        <w:t>【节税：对于正在所得税优惠期间的企业，是否适用上述政策，应作进一步筹划】</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  2．延长阶段性税费缓缴政策，将2021年四季度实施的制造业中小微企业延缓缴纳部分税费政策，延续实施6个月；继续实施新能源汽车购置补贴、充电设施奖补、车船税减免优惠政策。</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lang w:val="en-US" w:eastAsia="zh-CN" w:bidi="ar"/>
        </w:rPr>
      </w:pPr>
      <w:r>
        <w:rPr>
          <w:rFonts w:hint="eastAsia" w:ascii="楷体" w:hAnsi="楷体" w:eastAsia="楷体" w:cs="楷体"/>
          <w:i w:val="0"/>
          <w:caps w:val="0"/>
          <w:color w:val="0070C0"/>
          <w:spacing w:val="0"/>
          <w:kern w:val="0"/>
          <w:sz w:val="24"/>
          <w:szCs w:val="24"/>
          <w:lang w:val="en-US" w:eastAsia="zh-CN" w:bidi="ar"/>
        </w:rPr>
        <w:t>【提示：</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lang w:val="en-US" w:eastAsia="zh-CN" w:bidi="ar"/>
        </w:rPr>
      </w:pPr>
      <w:r>
        <w:rPr>
          <w:rFonts w:hint="eastAsia" w:ascii="楷体" w:hAnsi="楷体" w:eastAsia="楷体" w:cs="楷体"/>
          <w:i w:val="0"/>
          <w:caps w:val="0"/>
          <w:color w:val="0070C0"/>
          <w:spacing w:val="0"/>
          <w:kern w:val="0"/>
          <w:sz w:val="24"/>
          <w:szCs w:val="24"/>
          <w:lang w:val="en-US" w:eastAsia="zh-CN" w:bidi="ar"/>
        </w:rPr>
        <w:t>（1）制造业、中小微、部分税费的范围，详见：</w:t>
      </w:r>
      <w:r>
        <w:rPr>
          <w:rFonts w:hint="eastAsia" w:ascii="楷体" w:hAnsi="楷体" w:eastAsia="楷体" w:cs="楷体"/>
          <w:i w:val="0"/>
          <w:caps w:val="0"/>
          <w:color w:val="0070C0"/>
          <w:spacing w:val="0"/>
          <w:kern w:val="0"/>
          <w:sz w:val="24"/>
          <w:szCs w:val="24"/>
          <w:lang w:val="en-US" w:eastAsia="zh-CN" w:bidi="ar"/>
        </w:rPr>
        <w:t>《关于制造业中小微企业延缓缴纳2021年第四季度部分税费有关事项的公告》（</w:t>
      </w:r>
      <w:r>
        <w:rPr>
          <w:rFonts w:hint="eastAsia" w:ascii="楷体" w:hAnsi="楷体" w:eastAsia="楷体" w:cs="楷体"/>
          <w:i w:val="0"/>
          <w:caps w:val="0"/>
          <w:color w:val="0070C0"/>
          <w:spacing w:val="0"/>
          <w:kern w:val="0"/>
          <w:sz w:val="24"/>
          <w:szCs w:val="24"/>
          <w:lang w:val="en-US" w:eastAsia="zh-CN" w:bidi="ar"/>
        </w:rPr>
        <w:fldChar w:fldCharType="begin"/>
      </w:r>
      <w:r>
        <w:rPr>
          <w:rFonts w:hint="eastAsia" w:ascii="楷体" w:hAnsi="楷体" w:eastAsia="楷体" w:cs="楷体"/>
          <w:i w:val="0"/>
          <w:caps w:val="0"/>
          <w:color w:val="0070C0"/>
          <w:spacing w:val="0"/>
          <w:kern w:val="0"/>
          <w:sz w:val="24"/>
          <w:szCs w:val="24"/>
          <w:lang w:val="en-US" w:eastAsia="zh-CN" w:bidi="ar"/>
        </w:rPr>
        <w:instrText xml:space="preserve"> HYPERLINK "http://ssfb86.com/index/News/detail/newsid/9700.html" </w:instrText>
      </w:r>
      <w:r>
        <w:rPr>
          <w:rFonts w:hint="eastAsia" w:ascii="楷体" w:hAnsi="楷体" w:eastAsia="楷体" w:cs="楷体"/>
          <w:i w:val="0"/>
          <w:caps w:val="0"/>
          <w:color w:val="0070C0"/>
          <w:spacing w:val="0"/>
          <w:kern w:val="0"/>
          <w:sz w:val="24"/>
          <w:szCs w:val="24"/>
          <w:lang w:val="en-US" w:eastAsia="zh-CN" w:bidi="ar"/>
        </w:rPr>
        <w:fldChar w:fldCharType="separate"/>
      </w:r>
      <w:r>
        <w:rPr>
          <w:rStyle w:val="6"/>
          <w:rFonts w:hint="eastAsia" w:ascii="楷体" w:hAnsi="楷体" w:eastAsia="楷体" w:cs="楷体"/>
          <w:i w:val="0"/>
          <w:caps w:val="0"/>
          <w:color w:val="0070C0"/>
          <w:spacing w:val="0"/>
          <w:kern w:val="0"/>
          <w:sz w:val="24"/>
          <w:szCs w:val="24"/>
          <w:lang w:val="en-US" w:eastAsia="zh-CN" w:bidi="ar"/>
        </w:rPr>
        <w:t>国家税务总局公告2021年第30号</w:t>
      </w:r>
      <w:r>
        <w:rPr>
          <w:rFonts w:hint="eastAsia" w:ascii="楷体" w:hAnsi="楷体" w:eastAsia="楷体" w:cs="楷体"/>
          <w:i w:val="0"/>
          <w:caps w:val="0"/>
          <w:color w:val="0070C0"/>
          <w:spacing w:val="0"/>
          <w:kern w:val="0"/>
          <w:sz w:val="24"/>
          <w:szCs w:val="24"/>
          <w:lang w:val="en-US" w:eastAsia="zh-CN" w:bidi="ar"/>
        </w:rPr>
        <w:fldChar w:fldCharType="end"/>
      </w:r>
      <w:r>
        <w:rPr>
          <w:rFonts w:hint="eastAsia" w:ascii="楷体" w:hAnsi="楷体" w:eastAsia="楷体" w:cs="楷体"/>
          <w:i w:val="0"/>
          <w:caps w:val="0"/>
          <w:color w:val="0070C0"/>
          <w:spacing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lang w:val="en-US" w:eastAsia="zh-CN" w:bidi="ar"/>
        </w:rPr>
      </w:pPr>
      <w:r>
        <w:rPr>
          <w:rFonts w:hint="eastAsia" w:ascii="楷体" w:hAnsi="楷体" w:eastAsia="楷体" w:cs="楷体"/>
          <w:i w:val="0"/>
          <w:caps w:val="0"/>
          <w:color w:val="0070C0"/>
          <w:spacing w:val="0"/>
          <w:kern w:val="0"/>
          <w:sz w:val="24"/>
          <w:szCs w:val="24"/>
          <w:lang w:val="en-US" w:eastAsia="zh-CN" w:bidi="ar"/>
        </w:rPr>
        <w:t>（2）新能源汽车车船税减免，详见：《关于节能新能源车船享受车船税优惠政策的通知</w:t>
      </w:r>
      <w:r>
        <w:rPr>
          <w:rFonts w:hint="eastAsia" w:ascii="楷体" w:hAnsi="楷体" w:eastAsia="楷体" w:cs="楷体"/>
          <w:i w:val="0"/>
          <w:caps w:val="0"/>
          <w:color w:val="0070C0"/>
          <w:spacing w:val="0"/>
          <w:kern w:val="0"/>
          <w:sz w:val="24"/>
          <w:szCs w:val="24"/>
          <w:lang w:val="en-US" w:eastAsia="zh-CN" w:bidi="ar"/>
        </w:rPr>
        <w:t>》（</w:t>
      </w:r>
      <w:r>
        <w:rPr>
          <w:rFonts w:hint="eastAsia" w:ascii="楷体" w:hAnsi="楷体" w:eastAsia="楷体" w:cs="楷体"/>
          <w:i w:val="0"/>
          <w:caps w:val="0"/>
          <w:color w:val="0070C0"/>
          <w:spacing w:val="0"/>
          <w:kern w:val="0"/>
          <w:sz w:val="24"/>
          <w:szCs w:val="24"/>
          <w:lang w:val="en-US" w:eastAsia="zh-CN" w:bidi="ar"/>
        </w:rPr>
        <w:fldChar w:fldCharType="begin"/>
      </w:r>
      <w:r>
        <w:rPr>
          <w:rFonts w:hint="eastAsia" w:ascii="楷体" w:hAnsi="楷体" w:eastAsia="楷体" w:cs="楷体"/>
          <w:i w:val="0"/>
          <w:caps w:val="0"/>
          <w:color w:val="0070C0"/>
          <w:spacing w:val="0"/>
          <w:kern w:val="0"/>
          <w:sz w:val="24"/>
          <w:szCs w:val="24"/>
          <w:lang w:val="en-US" w:eastAsia="zh-CN" w:bidi="ar"/>
        </w:rPr>
        <w:instrText xml:space="preserve"> HYPERLINK "http://ssfb86.com/index/News/detail/newsid/7085.html" </w:instrText>
      </w:r>
      <w:r>
        <w:rPr>
          <w:rFonts w:hint="eastAsia" w:ascii="楷体" w:hAnsi="楷体" w:eastAsia="楷体" w:cs="楷体"/>
          <w:i w:val="0"/>
          <w:caps w:val="0"/>
          <w:color w:val="0070C0"/>
          <w:spacing w:val="0"/>
          <w:kern w:val="0"/>
          <w:sz w:val="24"/>
          <w:szCs w:val="24"/>
          <w:lang w:val="en-US" w:eastAsia="zh-CN" w:bidi="ar"/>
        </w:rPr>
        <w:fldChar w:fldCharType="separate"/>
      </w:r>
      <w:r>
        <w:rPr>
          <w:rStyle w:val="6"/>
          <w:rFonts w:hint="eastAsia" w:ascii="楷体" w:hAnsi="楷体" w:eastAsia="楷体" w:cs="楷体"/>
          <w:i w:val="0"/>
          <w:caps w:val="0"/>
          <w:color w:val="0070C0"/>
          <w:spacing w:val="0"/>
          <w:kern w:val="0"/>
          <w:sz w:val="24"/>
          <w:szCs w:val="24"/>
          <w:lang w:val="en-US" w:eastAsia="zh-CN" w:bidi="ar"/>
        </w:rPr>
        <w:t>财税[2018]74号</w:t>
      </w:r>
      <w:r>
        <w:rPr>
          <w:rFonts w:hint="eastAsia" w:ascii="楷体" w:hAnsi="楷体" w:eastAsia="楷体" w:cs="楷体"/>
          <w:i w:val="0"/>
          <w:caps w:val="0"/>
          <w:color w:val="0070C0"/>
          <w:spacing w:val="0"/>
          <w:kern w:val="0"/>
          <w:sz w:val="24"/>
          <w:szCs w:val="24"/>
          <w:lang w:val="en-US" w:eastAsia="zh-CN" w:bidi="ar"/>
        </w:rPr>
        <w:fldChar w:fldCharType="end"/>
      </w:r>
      <w:r>
        <w:rPr>
          <w:rFonts w:hint="eastAsia" w:ascii="楷体" w:hAnsi="楷体" w:eastAsia="楷体" w:cs="楷体"/>
          <w:i w:val="0"/>
          <w:caps w:val="0"/>
          <w:color w:val="0070C0"/>
          <w:spacing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  3．扩大地方“六税两费”减免政策适用主体范围，加大小型微利企业所得税减免力度。</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lang w:val="en-US" w:eastAsia="zh-CN" w:bidi="ar"/>
        </w:rPr>
      </w:pPr>
      <w:r>
        <w:rPr>
          <w:rFonts w:hint="eastAsia" w:ascii="楷体" w:hAnsi="楷体" w:eastAsia="楷体" w:cs="楷体"/>
          <w:i w:val="0"/>
          <w:caps w:val="0"/>
          <w:color w:val="0070C0"/>
          <w:spacing w:val="0"/>
          <w:kern w:val="0"/>
          <w:sz w:val="24"/>
          <w:szCs w:val="24"/>
          <w:lang w:val="en-US" w:eastAsia="zh-CN" w:bidi="ar"/>
        </w:rPr>
        <w:t>【提示：小微企业的范围、地方“六税两费”的范围，分别详见：《关于实施小微企业普惠性税收减免政策的通知</w:t>
      </w:r>
      <w:r>
        <w:rPr>
          <w:rFonts w:hint="eastAsia" w:ascii="楷体" w:hAnsi="楷体" w:eastAsia="楷体" w:cs="楷体"/>
          <w:i w:val="0"/>
          <w:caps w:val="0"/>
          <w:color w:val="0070C0"/>
          <w:spacing w:val="0"/>
          <w:kern w:val="0"/>
          <w:sz w:val="24"/>
          <w:szCs w:val="24"/>
          <w:lang w:val="en-US" w:eastAsia="zh-CN" w:bidi="ar"/>
        </w:rPr>
        <w:t>》（</w:t>
      </w:r>
      <w:r>
        <w:rPr>
          <w:rFonts w:hint="eastAsia" w:ascii="楷体" w:hAnsi="楷体" w:eastAsia="楷体" w:cs="楷体"/>
          <w:i w:val="0"/>
          <w:caps w:val="0"/>
          <w:color w:val="0070C0"/>
          <w:spacing w:val="0"/>
          <w:kern w:val="0"/>
          <w:sz w:val="24"/>
          <w:szCs w:val="24"/>
          <w:lang w:val="en-US" w:eastAsia="zh-CN" w:bidi="ar"/>
        </w:rPr>
        <w:fldChar w:fldCharType="begin"/>
      </w:r>
      <w:r>
        <w:rPr>
          <w:rFonts w:hint="eastAsia" w:ascii="楷体" w:hAnsi="楷体" w:eastAsia="楷体" w:cs="楷体"/>
          <w:i w:val="0"/>
          <w:caps w:val="0"/>
          <w:color w:val="0070C0"/>
          <w:spacing w:val="0"/>
          <w:kern w:val="0"/>
          <w:sz w:val="24"/>
          <w:szCs w:val="24"/>
          <w:lang w:val="en-US" w:eastAsia="zh-CN" w:bidi="ar"/>
        </w:rPr>
        <w:instrText xml:space="preserve"> HYPERLINK "http://ssfb86.com/index/News/detail/newsid/215.html" </w:instrText>
      </w:r>
      <w:r>
        <w:rPr>
          <w:rFonts w:hint="eastAsia" w:ascii="楷体" w:hAnsi="楷体" w:eastAsia="楷体" w:cs="楷体"/>
          <w:i w:val="0"/>
          <w:caps w:val="0"/>
          <w:color w:val="0070C0"/>
          <w:spacing w:val="0"/>
          <w:kern w:val="0"/>
          <w:sz w:val="24"/>
          <w:szCs w:val="24"/>
          <w:lang w:val="en-US" w:eastAsia="zh-CN" w:bidi="ar"/>
        </w:rPr>
        <w:fldChar w:fldCharType="separate"/>
      </w:r>
      <w:r>
        <w:rPr>
          <w:rStyle w:val="6"/>
          <w:rFonts w:hint="eastAsia" w:ascii="楷体" w:hAnsi="楷体" w:eastAsia="楷体" w:cs="楷体"/>
          <w:i w:val="0"/>
          <w:caps w:val="0"/>
          <w:color w:val="0070C0"/>
          <w:spacing w:val="0"/>
          <w:kern w:val="0"/>
          <w:sz w:val="24"/>
          <w:szCs w:val="24"/>
          <w:lang w:val="en-US" w:eastAsia="zh-CN" w:bidi="ar"/>
        </w:rPr>
        <w:t>财税〔2019〕13号</w:t>
      </w:r>
      <w:r>
        <w:rPr>
          <w:rFonts w:hint="eastAsia" w:ascii="楷体" w:hAnsi="楷体" w:eastAsia="楷体" w:cs="楷体"/>
          <w:i w:val="0"/>
          <w:caps w:val="0"/>
          <w:color w:val="0070C0"/>
          <w:spacing w:val="0"/>
          <w:kern w:val="0"/>
          <w:sz w:val="24"/>
          <w:szCs w:val="24"/>
          <w:lang w:val="en-US" w:eastAsia="zh-CN" w:bidi="ar"/>
        </w:rPr>
        <w:fldChar w:fldCharType="end"/>
      </w:r>
      <w:r>
        <w:rPr>
          <w:rFonts w:hint="eastAsia" w:ascii="楷体" w:hAnsi="楷体" w:eastAsia="楷体" w:cs="楷体"/>
          <w:i w:val="0"/>
          <w:caps w:val="0"/>
          <w:color w:val="0070C0"/>
          <w:spacing w:val="0"/>
          <w:kern w:val="0"/>
          <w:sz w:val="24"/>
          <w:szCs w:val="24"/>
          <w:lang w:val="en-US" w:eastAsia="zh-CN" w:bidi="ar"/>
        </w:rPr>
        <w:t>第二条、第三条）】</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ind w:firstLine="480" w:firstLineChars="200"/>
        <w:jc w:val="left"/>
        <w:textAlignment w:val="auto"/>
        <w:rPr>
          <w:rFonts w:hint="eastAsia" w:ascii="楷体" w:hAnsi="楷体" w:eastAsia="楷体" w:cs="楷体"/>
          <w:i w:val="0"/>
          <w:caps w:val="0"/>
          <w:color w:val="0070C0"/>
          <w:spacing w:val="0"/>
          <w:kern w:val="0"/>
          <w:sz w:val="24"/>
          <w:szCs w:val="24"/>
          <w:lang w:val="en-US" w:eastAsia="zh-CN" w:bidi="ar"/>
        </w:rPr>
      </w:pPr>
      <w:r>
        <w:rPr>
          <w:rFonts w:hint="eastAsia" w:ascii="楷体" w:hAnsi="楷体" w:eastAsia="楷体" w:cs="楷体"/>
          <w:i w:val="0"/>
          <w:caps w:val="0"/>
          <w:color w:val="0070C0"/>
          <w:spacing w:val="0"/>
          <w:kern w:val="0"/>
          <w:sz w:val="24"/>
          <w:szCs w:val="24"/>
          <w:lang w:val="en-US" w:eastAsia="zh-CN" w:bidi="ar"/>
        </w:rPr>
        <w:t>【思考：</w:t>
      </w:r>
      <w:r>
        <w:rPr>
          <w:rFonts w:hint="eastAsia" w:ascii="楷体" w:hAnsi="楷体" w:eastAsia="楷体" w:cs="楷体"/>
          <w:i w:val="0"/>
          <w:caps w:val="0"/>
          <w:color w:val="C55A11" w:themeColor="accent2" w:themeShade="BF"/>
          <w:spacing w:val="0"/>
          <w:kern w:val="0"/>
          <w:sz w:val="24"/>
          <w:szCs w:val="24"/>
          <w:lang w:val="en-US" w:eastAsia="zh-CN" w:bidi="ar"/>
        </w:rPr>
        <w:t>上述优惠，如何扩大和加大</w:t>
      </w:r>
      <w:r>
        <w:rPr>
          <w:rFonts w:hint="eastAsia" w:ascii="楷体" w:hAnsi="楷体" w:eastAsia="楷体" w:cs="楷体"/>
          <w:i w:val="0"/>
          <w:caps w:val="0"/>
          <w:color w:val="0070C0"/>
          <w:spacing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  4．降低企业社保负担，2022年延续实施阶段性降低失业保险、工伤保险费率政策。</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b/>
          <w:sz w:val="24"/>
          <w:szCs w:val="24"/>
          <w:lang w:val="en-US" w:eastAsia="zh-CN"/>
        </w:rPr>
      </w:pPr>
      <w:r>
        <w:rPr>
          <w:rFonts w:hint="eastAsia"/>
          <w:b/>
          <w:sz w:val="24"/>
          <w:szCs w:val="24"/>
          <w:lang w:val="en-US" w:eastAsia="zh-CN"/>
        </w:rPr>
        <w:t>  二、关于金融信贷政策</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  5．2022年继续引导金融系统向实体经济让利；加强对银行支持制造业发展的考核约束，2022年推动大型国有银行优化经济资本分配，向制造业企业倾斜，推动制造业中长期贷款继续保持较快增长。</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  6．2022年人民银行对符合条件的地方法人银行，按普惠小微贷款余额增量的1%提供激励资金；符合条件的地方法人银行发放普惠小微信用贷款，可向人民银行申请再贷款优惠资金支持。</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  7．落实煤电等行业绿色低碳转型金融政策，用好碳减排支持工具和2000亿元支持煤炭清洁高效利用专项再贷款，推动金融机构加快信贷投放进度，支持碳减排和煤炭清洁高效利用重大项目建设。</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b/>
          <w:sz w:val="24"/>
          <w:szCs w:val="24"/>
          <w:lang w:val="en-US" w:eastAsia="zh-CN"/>
        </w:rPr>
      </w:pPr>
      <w:r>
        <w:rPr>
          <w:rFonts w:hint="eastAsia"/>
          <w:b/>
          <w:sz w:val="24"/>
          <w:szCs w:val="24"/>
          <w:lang w:val="en-US" w:eastAsia="zh-CN"/>
        </w:rPr>
        <w:t>  三、关于保供稳价政策</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  8．坚持绿色发展</w:t>
      </w:r>
      <w:r>
        <w:rPr>
          <w:rFonts w:hint="eastAsia" w:ascii="宋体" w:hAnsi="宋体" w:eastAsia="宋体" w:cs="宋体"/>
          <w:i w:val="0"/>
          <w:caps w:val="0"/>
          <w:color w:val="565862"/>
          <w:spacing w:val="0"/>
          <w:kern w:val="0"/>
          <w:sz w:val="24"/>
          <w:szCs w:val="24"/>
          <w:lang w:val="en-US" w:eastAsia="zh-CN" w:bidi="ar"/>
        </w:rPr>
        <w:t>，</w:t>
      </w:r>
      <w:r>
        <w:rPr>
          <w:rFonts w:hint="eastAsia" w:ascii="宋体" w:hAnsi="宋体" w:eastAsia="宋体" w:cs="宋体"/>
          <w:i w:val="0"/>
          <w:caps w:val="0"/>
          <w:color w:val="C55A11" w:themeColor="accent2" w:themeShade="BF"/>
          <w:spacing w:val="0"/>
          <w:kern w:val="0"/>
          <w:sz w:val="24"/>
          <w:szCs w:val="24"/>
          <w:bdr w:val="none" w:color="auto" w:sz="0" w:space="0"/>
          <w:lang w:val="en-US" w:eastAsia="zh-CN" w:bidi="ar"/>
        </w:rPr>
        <w:t>整合差别电价、阶梯电价、惩罚性电价等差别化电价政策，建立统一的高耗能行业阶梯电价制度，</w:t>
      </w:r>
      <w:bookmarkStart w:id="0" w:name="_GoBack"/>
      <w:bookmarkEnd w:id="0"/>
      <w:r>
        <w:rPr>
          <w:rFonts w:hint="eastAsia" w:ascii="宋体" w:hAnsi="宋体" w:eastAsia="宋体" w:cs="宋体"/>
          <w:i w:val="0"/>
          <w:caps w:val="0"/>
          <w:color w:val="C55A11" w:themeColor="accent2" w:themeShade="BF"/>
          <w:spacing w:val="0"/>
          <w:kern w:val="0"/>
          <w:sz w:val="24"/>
          <w:szCs w:val="24"/>
          <w:bdr w:val="none" w:color="auto" w:sz="0" w:space="0"/>
          <w:lang w:val="en-US" w:eastAsia="zh-CN" w:bidi="ar"/>
        </w:rPr>
        <w:t>对能效达到基准水平的存量企业和能效达到标杆水平的在建、拟建企业用电不加价，未达到的根据能效水平差距实行阶梯电价，加价电费专项用于支持企业节能减污降碳技术改造</w:t>
      </w:r>
      <w:r>
        <w:rPr>
          <w:rFonts w:hint="eastAsia" w:ascii="宋体" w:hAnsi="宋体" w:eastAsia="宋体" w:cs="宋体"/>
          <w:i w:val="0"/>
          <w:caps w:val="0"/>
          <w:color w:val="565862"/>
          <w:spacing w:val="0"/>
          <w:kern w:val="0"/>
          <w:sz w:val="24"/>
          <w:szCs w:val="24"/>
          <w:bdr w:val="none" w:color="auto" w:sz="0" w:space="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9．做好铁矿石、化肥等重要原材料和初级产品保供稳价，进一步强化大宗商品期现货市场监管，加强大宗商品价格监测预警；支持企业投资开发铁矿、铜矿等国内具备资源条件、符合生态环境保护要求的矿产开发项目；推动废钢、废有色金属、废纸等再生资源综合利用，提高“城市矿山”对资源的保障能力。</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Style w:val="5"/>
          <w:rFonts w:hint="eastAsia" w:ascii="宋体" w:hAnsi="宋体" w:eastAsia="宋体" w:cs="宋体"/>
          <w:b/>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w:t>
      </w:r>
      <w:r>
        <w:rPr>
          <w:rStyle w:val="5"/>
          <w:rFonts w:hint="eastAsia" w:ascii="宋体" w:hAnsi="宋体" w:eastAsia="宋体" w:cs="宋体"/>
          <w:b/>
          <w:i w:val="0"/>
          <w:caps w:val="0"/>
          <w:color w:val="565862"/>
          <w:spacing w:val="0"/>
          <w:kern w:val="0"/>
          <w:sz w:val="24"/>
          <w:szCs w:val="24"/>
          <w:bdr w:val="none" w:color="auto" w:sz="0" w:space="0"/>
          <w:lang w:val="en-US" w:eastAsia="zh-CN" w:bidi="ar"/>
        </w:rPr>
        <w:t>四、关于投资和外贸外资政策</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10．组织实施光伏产业创新发展专项行动，实施好沙漠戈壁荒漠地区大型风电光伏基地建设，鼓励中东部地区发展分布式光伏，推进广东、福建、浙江、江苏、山东等海上风电发展，带动太阳能电池、风电装备产业链投资。</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11．推进供电煤耗300克标准煤/千瓦时以上煤电机组改造升级，在西北、东北、华北等地实施煤电机组灵活性改造，加快完成供热机组改造；对纳入规划的跨省区输电线路和具备条件的支撑性保障电源，要加快核准开工、建设投产，带动装备制造业投资。</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12．启动实施钢铁、有色、建材、石化等重点领域企业节能降碳技术改造工程；加快实施制造业核心竞争力提升五年行动计划和制造业领域国家专项规划重大工程，启动一批产业基础再造工程项目，推进制造业强链补链，推动重点地区沿海、内河老旧船舶更新改造，加快培育一批先进制造业集群，加大“专精特新”中小企业培育力度。</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13．加快新型基础设施重大项目建设，引导电信运营商加快5G建设进度，支持工业企业加快数字化改造升级，推进制造业数字化转型；启动实施北斗产业化重大工程，推动重大战略区域北斗规模化应用；加快实施大数据中心建设专项行动，实施“东数西算”工程，加快长三角、京津冀、粤港澳大湾区等8个国家级数据中心枢纽节点建设。推动基础设施领域不动产投资信托基金（REITs）健康发展，有效盘活存量资产，形成存量资产和新增投资的良性循环。</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14．鼓励具备跨境金融服务能力的金融机构在依法合规、风险可控前提下，加大对传统外贸企业、跨境电商和物流企业等建设和使用海外仓的金融支持。进一步畅通国际运输，加强对海运市场相关主体收费行为的监管，依法查处违法违规收费行为；鼓励外贸企业与航运企业签订长期协议，引导各地方、进出口商协会组织中小微外贸企业与航运企业进行直客对接；增加中欧班列车次，引导企业通过中欧班列扩大向西出口。</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15．多措并举支持制造业引进外资，加大对制造业重大外资项目要素保障力度，便利外籍人员及其家属来华，推动早签约、早投产、早达产；加快修订《鼓励外商投资产业目录》，引导外资更多投向高端制造领域；出台支持外资研发中心创新发展政策举措，提升产业技术水平和创新效能。全面贯彻落实外商投资法，保障外资企业和内资企业同等适用各级政府出台的支持政策。</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b/>
          <w:sz w:val="24"/>
          <w:szCs w:val="24"/>
          <w:lang w:val="en-US" w:eastAsia="zh-CN"/>
        </w:rPr>
      </w:pPr>
      <w:r>
        <w:rPr>
          <w:rFonts w:hint="eastAsia"/>
          <w:b/>
          <w:sz w:val="24"/>
          <w:szCs w:val="24"/>
          <w:lang w:val="en-US" w:eastAsia="zh-CN"/>
        </w:rPr>
        <w:t>  五、关于用地、用能和环境政策</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16．保障纳入规划的重大项目土地供应，支持产业用地实行“标准地”出让，提高配置效率；支持不同产业用地类型按程序合理转换，完善土地用途变更、整合、置换等政策；鼓励采用长期租赁、先租后让、弹性年期供应等方式供应产业用地。</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17．落实好新增可再生能源和原料用能消费不纳入能源消费总量控制政策；优化考核频次，能耗强度目标在“十四五”规划期内统筹考核，避免因能耗指标完成进度问题限制企业正常用能；落实好国家重大项目能耗单列政策，加快确定并组织实施“十四五”期间符合重大项目能耗单列要求的产业项目。</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  18．完善重污染天气应对分级分区管理，坚持精准实施企业生产调控措施；对大型风光电基地建设、节能降碳改造等重大项目，加快规划环评和项目环评进度，保障尽快开工建设。</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sz w:val="24"/>
          <w:szCs w:val="24"/>
          <w:lang w:val="en-US" w:eastAsia="zh-CN"/>
        </w:rPr>
      </w:pPr>
      <w:r>
        <w:rPr>
          <w:rFonts w:hint="eastAsia"/>
          <w:sz w:val="24"/>
          <w:szCs w:val="24"/>
          <w:lang w:val="en-US" w:eastAsia="zh-CN"/>
        </w:rPr>
        <w:t>  六、保障措施</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国家发展改革委、工业和信息化部要加强统筹协调，做好重点工业大省以及重点行业、重点园区和重点企业运行情况调度监测；加大协调推动有关政策出台、执行落实工作力度，适时开展政策效果评估。国务院有关部门要各司其责，加强配合，积极推出有利于振作工业经济的举措，努力形成政策合力，尽早显现政策效果。</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lef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  各省级地方政府要设立由省政府领导牵头的协调机制，制定实施本地区促进工业经济平稳增长的行动方案。各级地方政府要结合本地产业发展特点，在保护市场主体权益、优化营商环境等方面出台更为有力有效的改革举措；要总结推广新冠肺炎疫情防控中稳定工业运行的有效做法和经验，科学精准做好疫情防控工作，在突发疫情情况下保障重点产业园区、重点工业企业正常有序运行；针对国内疫情点状散发可能带来的人员返程受限、产业链供应链受阻等风险提前制定应对预案，尽最大努力保障企业稳定生产；加大对企业在重要节假日开复工情况的监测调度，及时协调解决困难问题。</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afterAutospacing="0" w:line="360" w:lineRule="auto"/>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国家发展改革委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工业和信息化部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财  政  部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人力资源社会保障部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自 然 资 源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生 态 环 境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交 通 运 输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商  务  部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人 民 银 行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税 务 总 局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银 保 监 会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kern w:val="0"/>
          <w:sz w:val="24"/>
          <w:szCs w:val="24"/>
          <w:bdr w:val="none" w:color="auto" w:sz="0" w:space="0"/>
          <w:lang w:val="en-US" w:eastAsia="zh-CN" w:bidi="ar"/>
        </w:rPr>
      </w:pPr>
      <w:r>
        <w:rPr>
          <w:rFonts w:hint="eastAsia" w:ascii="宋体" w:hAnsi="宋体" w:eastAsia="宋体" w:cs="宋体"/>
          <w:i w:val="0"/>
          <w:caps w:val="0"/>
          <w:color w:val="565862"/>
          <w:spacing w:val="0"/>
          <w:kern w:val="0"/>
          <w:sz w:val="24"/>
          <w:szCs w:val="24"/>
          <w:bdr w:val="none" w:color="auto" w:sz="0" w:space="0"/>
          <w:lang w:val="en-US" w:eastAsia="zh-CN" w:bidi="ar"/>
        </w:rPr>
        <w:t>能  源  局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right"/>
        <w:textAlignment w:val="auto"/>
        <w:rPr>
          <w:rFonts w:hint="eastAsia" w:ascii="宋体" w:hAnsi="宋体" w:eastAsia="宋体" w:cs="宋体"/>
          <w:i w:val="0"/>
          <w:caps w:val="0"/>
          <w:color w:val="565862"/>
          <w:spacing w:val="0"/>
          <w:sz w:val="24"/>
          <w:szCs w:val="24"/>
        </w:rPr>
      </w:pPr>
      <w:r>
        <w:rPr>
          <w:rFonts w:hint="eastAsia" w:ascii="宋体" w:hAnsi="宋体" w:eastAsia="宋体" w:cs="宋体"/>
          <w:i w:val="0"/>
          <w:caps w:val="0"/>
          <w:color w:val="565862"/>
          <w:spacing w:val="0"/>
          <w:kern w:val="0"/>
          <w:sz w:val="24"/>
          <w:szCs w:val="24"/>
          <w:bdr w:val="none" w:color="auto" w:sz="0" w:space="0"/>
          <w:lang w:val="en-US" w:eastAsia="zh-CN" w:bidi="ar"/>
        </w:rPr>
        <w:t>2022年2月18日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65F36"/>
    <w:rsid w:val="3BA02A89"/>
    <w:rsid w:val="417B372C"/>
    <w:rsid w:val="6E632839"/>
    <w:rsid w:val="71A5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2022-02-19T00:00:03Z</dcterms:created>
  <dc:creator>fzr</dc:creator>
  <cp:lastModifiedBy>默默</cp:lastModifiedBy>
  <dcterms:modified xsi:type="dcterms:W3CDTF">2022-02-19T01:46:33Z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