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color w:val="C55A11" w:themeColor="accent2" w:themeShade="BF"/>
          <w:sz w:val="44"/>
          <w:szCs w:val="44"/>
        </w:rPr>
      </w:pPr>
      <w:r>
        <w:rPr>
          <w:rFonts w:hint="eastAsia" w:ascii="宋体" w:hAnsi="宋体" w:eastAsia="宋体" w:cs="宋体"/>
          <w:b/>
          <w:bCs/>
          <w:color w:val="C55A11" w:themeColor="accent2" w:themeShade="BF"/>
          <w:sz w:val="44"/>
          <w:szCs w:val="44"/>
        </w:rPr>
        <w:t>金融机构大额交易和可疑交易报告管理办法</w:t>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center"/>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fldChar w:fldCharType="begin"/>
      </w:r>
      <w:r>
        <w:rPr>
          <w:rFonts w:hint="eastAsia" w:ascii="宋体" w:hAnsi="宋体" w:eastAsia="宋体" w:cs="宋体"/>
          <w:i w:val="0"/>
          <w:caps w:val="0"/>
          <w:color w:val="333333"/>
          <w:spacing w:val="0"/>
          <w:sz w:val="24"/>
          <w:szCs w:val="24"/>
          <w:shd w:val="clear" w:fill="FFFFFF"/>
        </w:rPr>
        <w:instrText xml:space="preserve"> HYPERLINK "http://ssfb86.com/index/News/detail/newsid/10141.html" </w:instrText>
      </w:r>
      <w:r>
        <w:rPr>
          <w:rFonts w:hint="eastAsia" w:ascii="宋体" w:hAnsi="宋体" w:eastAsia="宋体" w:cs="宋体"/>
          <w:i w:val="0"/>
          <w:caps w:val="0"/>
          <w:color w:val="333333"/>
          <w:spacing w:val="0"/>
          <w:sz w:val="24"/>
          <w:szCs w:val="24"/>
          <w:shd w:val="clear" w:fill="FFFFFF"/>
        </w:rPr>
        <w:fldChar w:fldCharType="separate"/>
      </w:r>
      <w:r>
        <w:rPr>
          <w:rStyle w:val="7"/>
          <w:rFonts w:hint="eastAsia" w:ascii="宋体" w:hAnsi="宋体" w:eastAsia="宋体" w:cs="宋体"/>
          <w:i w:val="0"/>
          <w:caps w:val="0"/>
          <w:color w:val="333333"/>
          <w:spacing w:val="0"/>
          <w:sz w:val="24"/>
          <w:szCs w:val="24"/>
          <w:shd w:val="clear" w:fill="FFFFFF"/>
        </w:rPr>
        <w:t>中国人民银行令〔2016〕 第 3 号</w:t>
      </w:r>
      <w:r>
        <w:rPr>
          <w:rFonts w:hint="eastAsia" w:ascii="宋体" w:hAnsi="宋体" w:eastAsia="宋体" w:cs="宋体"/>
          <w:i w:val="0"/>
          <w:caps w:val="0"/>
          <w:color w:val="333333"/>
          <w:spacing w:val="0"/>
          <w:sz w:val="24"/>
          <w:szCs w:val="24"/>
          <w:shd w:val="clear" w:fill="FFFFFF"/>
        </w:rPr>
        <w:fldChar w:fldCharType="end"/>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根据《中华人民共和国反洗钱法》、《中华人民共和国中国人民银行法》、《中华人民共和国反恐怖主义法》等法律规定，中国人民银行对《金融机构大额交易和可疑交易报告管理办法》（中国人民银行令〔2006〕第2号发布）进行了修订，经2016年12月9日第9次行长办公会议通过，现予发布，自2017年7月1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行　长　　周小川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2016年12月28日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第一章　总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第一条</w:t>
      </w:r>
      <w:r>
        <w:rPr>
          <w:rFonts w:hint="eastAsia" w:ascii="宋体" w:hAnsi="宋体" w:eastAsia="宋体" w:cs="宋体"/>
          <w:sz w:val="24"/>
          <w:szCs w:val="24"/>
          <w:lang w:eastAsia="zh-CN"/>
        </w:rPr>
        <w:t>【立法目的、立法依据】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both"/>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为了规范金融机构大额交易和可疑交易报告行为，根据《中华人民共和国反洗钱法》、《中华人民共和国中国人民银行法》、《中华人民共和国反恐怖主义法》等有关法律法规，制定本办法。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both"/>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333333"/>
          <w:spacing w:val="0"/>
          <w:sz w:val="24"/>
          <w:szCs w:val="24"/>
          <w:bdr w:val="none" w:color="auto" w:sz="0" w:space="0"/>
          <w:shd w:val="clear" w:fill="FFFFFF"/>
        </w:rPr>
      </w:pPr>
      <w:r>
        <w:rPr>
          <w:rFonts w:hint="eastAsia" w:ascii="宋体" w:hAnsi="宋体" w:eastAsia="宋体" w:cs="宋体"/>
          <w:b/>
          <w:i w:val="0"/>
          <w:caps w:val="0"/>
          <w:color w:val="333333"/>
          <w:spacing w:val="0"/>
          <w:sz w:val="24"/>
          <w:szCs w:val="24"/>
          <w:bdr w:val="none" w:color="auto" w:sz="0" w:space="0"/>
          <w:shd w:val="clear" w:fill="FFFFFF"/>
        </w:rPr>
        <w:t>第二条</w:t>
      </w:r>
      <w:r>
        <w:rPr>
          <w:rFonts w:hint="eastAsia" w:ascii="宋体" w:hAnsi="宋体" w:eastAsia="宋体" w:cs="宋体"/>
          <w:sz w:val="24"/>
          <w:szCs w:val="24"/>
          <w:lang w:eastAsia="zh-CN"/>
        </w:rPr>
        <w:t>【适用金融机构范围】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本办法适用于在中华人民共和国境内依法设立的下列金融机构：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（一）政策性银行、商业银行、农村合作银行、农村信用社、村镇银行。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（二）证券公司、期货公司、基金管理公司。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（三）保险公司、保险资产管理公司、保险专业代理公司、保险经纪公司。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（四）信托公司、金融资产管理公司、企业集团财务公司、金融租赁公司、汽车金融公司、消费金融公司、货币经纪公司、贷款公司。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（五）中国人民银行确定并公布的应当履行反洗钱义务的从事金融业务的其他机构。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333333"/>
          <w:spacing w:val="0"/>
          <w:sz w:val="24"/>
          <w:szCs w:val="24"/>
          <w:shd w:val="clear" w:fill="FFFFFF"/>
          <w:lang w:eastAsia="zh-CN"/>
        </w:rPr>
      </w:pPr>
      <w:r>
        <w:rPr>
          <w:rFonts w:hint="eastAsia" w:ascii="宋体" w:hAnsi="宋体" w:eastAsia="宋体" w:cs="宋体"/>
          <w:b/>
          <w:i w:val="0"/>
          <w:caps w:val="0"/>
          <w:color w:val="333333"/>
          <w:spacing w:val="0"/>
          <w:sz w:val="24"/>
          <w:szCs w:val="24"/>
          <w:shd w:val="clear" w:fill="FFFFFF"/>
        </w:rPr>
        <w:t>第三条</w:t>
      </w:r>
      <w:r>
        <w:rPr>
          <w:rFonts w:hint="eastAsia" w:ascii="宋体" w:hAnsi="宋体" w:eastAsia="宋体" w:cs="宋体"/>
          <w:b/>
          <w:i w:val="0"/>
          <w:caps w:val="0"/>
          <w:color w:val="333333"/>
          <w:spacing w:val="0"/>
          <w:sz w:val="24"/>
          <w:szCs w:val="24"/>
          <w:shd w:val="clear" w:fill="FFFFFF"/>
          <w:lang w:eastAsia="zh-CN"/>
        </w:rPr>
        <w:t>【金融机构的报告义务】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金融机构应当履行大额交易和可疑交易报告义务，向中国反洗钱监测分析中心报送大额交易和可疑交易报告，接受中国人民银行及其分支机构的监督、检查。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333333"/>
          <w:spacing w:val="0"/>
          <w:sz w:val="24"/>
          <w:szCs w:val="24"/>
          <w:shd w:val="clear" w:fill="FFFFFF"/>
          <w:lang w:eastAsia="zh-CN"/>
        </w:rPr>
      </w:pPr>
      <w:r>
        <w:rPr>
          <w:rFonts w:hint="eastAsia" w:ascii="宋体" w:hAnsi="宋体" w:eastAsia="宋体" w:cs="宋体"/>
          <w:b/>
          <w:i w:val="0"/>
          <w:caps w:val="0"/>
          <w:color w:val="333333"/>
          <w:spacing w:val="0"/>
          <w:sz w:val="24"/>
          <w:szCs w:val="24"/>
          <w:shd w:val="clear" w:fill="FFFFFF"/>
        </w:rPr>
        <w:t>第四条</w:t>
      </w:r>
      <w:r>
        <w:rPr>
          <w:rFonts w:hint="eastAsia" w:ascii="宋体" w:hAnsi="宋体" w:eastAsia="宋体" w:cs="宋体"/>
          <w:b/>
          <w:i w:val="0"/>
          <w:caps w:val="0"/>
          <w:color w:val="333333"/>
          <w:spacing w:val="0"/>
          <w:sz w:val="24"/>
          <w:szCs w:val="24"/>
          <w:shd w:val="clear" w:fill="FFFFFF"/>
          <w:lang w:eastAsia="zh-CN"/>
        </w:rPr>
        <w:t>【报告机构】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金融机构应当通过其总部或者总部指定的一个机构，按本办法规定的路径和方式提交大额交易和可疑交易报告。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b/>
          <w:sz w:val="24"/>
          <w:szCs w:val="24"/>
        </w:rPr>
      </w:pPr>
      <w:r>
        <w:rPr>
          <w:rFonts w:hint="eastAsia"/>
          <w:b/>
          <w:sz w:val="24"/>
          <w:szCs w:val="24"/>
        </w:rPr>
        <w:t>第二章　大额交易报告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333333"/>
          <w:spacing w:val="0"/>
          <w:sz w:val="24"/>
          <w:szCs w:val="24"/>
          <w:shd w:val="clear" w:fill="FFFFFF"/>
          <w:lang w:eastAsia="zh-CN"/>
        </w:rPr>
      </w:pPr>
      <w:r>
        <w:rPr>
          <w:rFonts w:hint="eastAsia" w:ascii="宋体" w:hAnsi="宋体" w:eastAsia="宋体" w:cs="宋体"/>
          <w:b/>
          <w:i w:val="0"/>
          <w:caps w:val="0"/>
          <w:color w:val="333333"/>
          <w:spacing w:val="0"/>
          <w:sz w:val="24"/>
          <w:szCs w:val="24"/>
          <w:shd w:val="clear" w:fill="FFFFFF"/>
        </w:rPr>
        <w:t>第五条</w:t>
      </w:r>
      <w:r>
        <w:rPr>
          <w:rFonts w:hint="eastAsia" w:ascii="宋体" w:hAnsi="宋体" w:eastAsia="宋体" w:cs="宋体"/>
          <w:b/>
          <w:i w:val="0"/>
          <w:caps w:val="0"/>
          <w:color w:val="333333"/>
          <w:spacing w:val="0"/>
          <w:sz w:val="24"/>
          <w:szCs w:val="24"/>
          <w:shd w:val="clear" w:fill="FFFFFF"/>
          <w:lang w:eastAsia="zh-CN"/>
        </w:rPr>
        <w:t>【大额交易报告范围】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金融机构应当报告下列大额交易：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w:t>
      </w:r>
      <w:r>
        <w:rPr>
          <w:rFonts w:hint="eastAsia" w:ascii="宋体" w:hAnsi="宋体" w:eastAsia="宋体" w:cs="宋体"/>
          <w:i w:val="0"/>
          <w:caps w:val="0"/>
          <w:color w:val="C55A11" w:themeColor="accent2" w:themeShade="BF"/>
          <w:spacing w:val="0"/>
          <w:sz w:val="24"/>
          <w:szCs w:val="24"/>
          <w:bdr w:val="none" w:color="auto" w:sz="0" w:space="0"/>
          <w:shd w:val="clear" w:fill="FFFFFF"/>
        </w:rPr>
        <w:t>当日单笔或者累计交易人民币</w:t>
      </w:r>
      <w:r>
        <w:rPr>
          <w:rFonts w:hint="eastAsia" w:ascii="宋体" w:hAnsi="宋体" w:eastAsia="宋体" w:cs="宋体"/>
          <w:b/>
          <w:bCs/>
          <w:i w:val="0"/>
          <w:caps w:val="0"/>
          <w:color w:val="C55A11" w:themeColor="accent2" w:themeShade="BF"/>
          <w:spacing w:val="0"/>
          <w:sz w:val="24"/>
          <w:szCs w:val="24"/>
          <w:bdr w:val="none" w:color="auto" w:sz="0" w:space="0"/>
          <w:shd w:val="clear" w:fill="FFFFFF"/>
        </w:rPr>
        <w:t>5万元以上（含5万元）、外币等值1万美元以上（含1万美元）的现金缴存、现金支取</w:t>
      </w:r>
      <w:r>
        <w:rPr>
          <w:rFonts w:hint="eastAsia" w:ascii="宋体" w:hAnsi="宋体" w:eastAsia="宋体" w:cs="宋体"/>
          <w:i w:val="0"/>
          <w:caps w:val="0"/>
          <w:color w:val="333333"/>
          <w:spacing w:val="0"/>
          <w:sz w:val="24"/>
          <w:szCs w:val="24"/>
          <w:bdr w:val="none" w:color="auto" w:sz="0" w:space="0"/>
          <w:shd w:val="clear" w:fill="FFFFFF"/>
        </w:rPr>
        <w:t>、现金结售汇、现钞兑换、现金汇款、现金票据解付及其他形式的现金收支。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w:t>
      </w:r>
      <w:r>
        <w:rPr>
          <w:rFonts w:hint="eastAsia" w:ascii="宋体" w:hAnsi="宋体" w:eastAsia="宋体" w:cs="宋体"/>
          <w:b/>
          <w:bCs/>
          <w:i w:val="0"/>
          <w:caps w:val="0"/>
          <w:color w:val="C55A11" w:themeColor="accent2" w:themeShade="BF"/>
          <w:spacing w:val="0"/>
          <w:sz w:val="24"/>
          <w:szCs w:val="24"/>
          <w:bdr w:val="none" w:color="auto" w:sz="0" w:space="0"/>
          <w:shd w:val="clear" w:fill="FFFFFF"/>
        </w:rPr>
        <w:t>非自然人客户银行账户与其他的银行账户发生当日单笔或者累计交易人民币200万元以上（含200万元</w:t>
      </w:r>
      <w:r>
        <w:rPr>
          <w:rFonts w:hint="eastAsia" w:ascii="宋体" w:hAnsi="宋体" w:eastAsia="宋体" w:cs="宋体"/>
          <w:b/>
          <w:bCs/>
          <w:i w:val="0"/>
          <w:caps w:val="0"/>
          <w:color w:val="333333"/>
          <w:spacing w:val="0"/>
          <w:sz w:val="24"/>
          <w:szCs w:val="24"/>
          <w:bdr w:val="none" w:color="auto" w:sz="0" w:space="0"/>
          <w:shd w:val="clear" w:fill="FFFFFF"/>
        </w:rPr>
        <w:t>）</w:t>
      </w:r>
      <w:r>
        <w:rPr>
          <w:rFonts w:hint="eastAsia" w:ascii="宋体" w:hAnsi="宋体" w:eastAsia="宋体" w:cs="宋体"/>
          <w:i w:val="0"/>
          <w:caps w:val="0"/>
          <w:color w:val="333333"/>
          <w:spacing w:val="0"/>
          <w:sz w:val="24"/>
          <w:szCs w:val="24"/>
          <w:bdr w:val="none" w:color="auto" w:sz="0" w:space="0"/>
          <w:shd w:val="clear" w:fill="FFFFFF"/>
        </w:rPr>
        <w:t>、</w:t>
      </w:r>
      <w:r>
        <w:rPr>
          <w:rFonts w:hint="eastAsia" w:ascii="宋体" w:hAnsi="宋体" w:eastAsia="宋体" w:cs="宋体"/>
          <w:i w:val="0"/>
          <w:caps w:val="0"/>
          <w:color w:val="C55A11" w:themeColor="accent2" w:themeShade="BF"/>
          <w:spacing w:val="0"/>
          <w:sz w:val="24"/>
          <w:szCs w:val="24"/>
          <w:bdr w:val="none" w:color="auto" w:sz="0" w:space="0"/>
          <w:shd w:val="clear" w:fill="FFFFFF"/>
        </w:rPr>
        <w:t>外币等值20万美元以上（含20万美元）的款项划</w:t>
      </w:r>
      <w:r>
        <w:rPr>
          <w:rFonts w:hint="eastAsia" w:ascii="宋体" w:hAnsi="宋体" w:eastAsia="宋体" w:cs="宋体"/>
          <w:i w:val="0"/>
          <w:caps w:val="0"/>
          <w:color w:val="333333"/>
          <w:spacing w:val="0"/>
          <w:sz w:val="24"/>
          <w:szCs w:val="24"/>
          <w:bdr w:val="none" w:color="auto" w:sz="0" w:space="0"/>
          <w:shd w:val="clear" w:fill="FFFFFF"/>
        </w:rPr>
        <w:t>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w:t>
      </w:r>
      <w:r>
        <w:rPr>
          <w:rFonts w:hint="eastAsia" w:ascii="宋体" w:hAnsi="宋体" w:eastAsia="宋体" w:cs="宋体"/>
          <w:i w:val="0"/>
          <w:caps w:val="0"/>
          <w:color w:val="C55A11" w:themeColor="accent2" w:themeShade="BF"/>
          <w:spacing w:val="0"/>
          <w:sz w:val="24"/>
          <w:szCs w:val="24"/>
          <w:bdr w:val="none" w:color="auto" w:sz="0" w:space="0"/>
          <w:shd w:val="clear" w:fill="FFFFFF"/>
        </w:rPr>
        <w:t>自然人客户银行账户与其他的银行账户发生当日单笔或者累计交易人民币50万元以上（含50万元）</w:t>
      </w:r>
      <w:r>
        <w:rPr>
          <w:rFonts w:hint="eastAsia" w:ascii="宋体" w:hAnsi="宋体" w:eastAsia="宋体" w:cs="宋体"/>
          <w:i w:val="0"/>
          <w:caps w:val="0"/>
          <w:color w:val="333333"/>
          <w:spacing w:val="0"/>
          <w:sz w:val="24"/>
          <w:szCs w:val="24"/>
          <w:bdr w:val="none" w:color="auto" w:sz="0" w:space="0"/>
          <w:shd w:val="clear" w:fill="FFFFFF"/>
        </w:rPr>
        <w:t>、外币等值10万美元以上（含10万美元）的</w:t>
      </w:r>
      <w:r>
        <w:rPr>
          <w:rFonts w:hint="eastAsia" w:ascii="宋体" w:hAnsi="宋体" w:eastAsia="宋体" w:cs="宋体"/>
          <w:i w:val="0"/>
          <w:caps w:val="0"/>
          <w:color w:val="C55A11" w:themeColor="accent2" w:themeShade="BF"/>
          <w:spacing w:val="0"/>
          <w:sz w:val="24"/>
          <w:szCs w:val="24"/>
          <w:bdr w:val="none" w:color="auto" w:sz="0" w:space="0"/>
          <w:shd w:val="clear" w:fill="FFFFFF"/>
        </w:rPr>
        <w:t>境内款项划转</w:t>
      </w:r>
      <w:r>
        <w:rPr>
          <w:rFonts w:hint="eastAsia" w:ascii="宋体" w:hAnsi="宋体" w:eastAsia="宋体" w:cs="宋体"/>
          <w:i w:val="0"/>
          <w:caps w:val="0"/>
          <w:color w:val="333333"/>
          <w:spacing w:val="0"/>
          <w:sz w:val="24"/>
          <w:szCs w:val="24"/>
          <w:bdr w:val="none" w:color="auto" w:sz="0" w:space="0"/>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（四）自然人客户银行账户与其他的银行账户发生当日单笔或者累计交易人民币</w:t>
      </w:r>
      <w:r>
        <w:rPr>
          <w:rFonts w:hint="eastAsia" w:ascii="宋体" w:hAnsi="宋体" w:eastAsia="宋体" w:cs="宋体"/>
          <w:i w:val="0"/>
          <w:caps w:val="0"/>
          <w:color w:val="C55A11" w:themeColor="accent2" w:themeShade="BF"/>
          <w:spacing w:val="0"/>
          <w:sz w:val="24"/>
          <w:szCs w:val="24"/>
          <w:bdr w:val="none" w:color="auto" w:sz="0" w:space="0"/>
          <w:shd w:val="clear" w:fill="FFFFFF"/>
        </w:rPr>
        <w:t>20万元以上（含20万元</w:t>
      </w:r>
      <w:r>
        <w:rPr>
          <w:rFonts w:hint="eastAsia" w:ascii="宋体" w:hAnsi="宋体" w:eastAsia="宋体" w:cs="宋体"/>
          <w:i w:val="0"/>
          <w:caps w:val="0"/>
          <w:color w:val="333333"/>
          <w:spacing w:val="0"/>
          <w:sz w:val="24"/>
          <w:szCs w:val="24"/>
          <w:bdr w:val="none" w:color="auto" w:sz="0" w:space="0"/>
          <w:shd w:val="clear" w:fill="FFFFFF"/>
        </w:rPr>
        <w:t>）、外币等值1万美元以上（含1万美元）的</w:t>
      </w:r>
      <w:r>
        <w:rPr>
          <w:rFonts w:hint="eastAsia" w:ascii="宋体" w:hAnsi="宋体" w:eastAsia="宋体" w:cs="宋体"/>
          <w:i w:val="0"/>
          <w:caps w:val="0"/>
          <w:color w:val="C55A11" w:themeColor="accent2" w:themeShade="BF"/>
          <w:spacing w:val="0"/>
          <w:sz w:val="24"/>
          <w:szCs w:val="24"/>
          <w:bdr w:val="none" w:color="auto" w:sz="0" w:space="0"/>
          <w:shd w:val="clear" w:fill="FFFFFF"/>
        </w:rPr>
        <w:t>跨境款项划转</w:t>
      </w:r>
      <w:r>
        <w:rPr>
          <w:rFonts w:hint="eastAsia" w:ascii="宋体" w:hAnsi="宋体" w:eastAsia="宋体" w:cs="宋体"/>
          <w:i w:val="0"/>
          <w:caps w:val="0"/>
          <w:color w:val="333333"/>
          <w:spacing w:val="0"/>
          <w:sz w:val="24"/>
          <w:szCs w:val="24"/>
          <w:bdr w:val="none" w:color="auto" w:sz="0" w:space="0"/>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累计交易金额以客户为单位，按资金收入或者支出单边累计计算并报告。中国人民银行另有规定的除外。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中国人民银行根据需要可以调整本条第一款规定的大额交易报告标准。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333333"/>
          <w:spacing w:val="0"/>
          <w:sz w:val="24"/>
          <w:szCs w:val="24"/>
          <w:shd w:val="clear" w:fill="FFFFFF"/>
          <w:lang w:eastAsia="zh-CN"/>
        </w:rPr>
      </w:pPr>
      <w:r>
        <w:rPr>
          <w:rFonts w:hint="eastAsia" w:ascii="宋体" w:hAnsi="宋体" w:eastAsia="宋体" w:cs="宋体"/>
          <w:b/>
          <w:i w:val="0"/>
          <w:caps w:val="0"/>
          <w:color w:val="333333"/>
          <w:spacing w:val="0"/>
          <w:sz w:val="24"/>
          <w:szCs w:val="24"/>
          <w:shd w:val="clear" w:fill="FFFFFF"/>
        </w:rPr>
        <w:t>第六条</w:t>
      </w:r>
      <w:r>
        <w:rPr>
          <w:rFonts w:hint="eastAsia" w:ascii="宋体" w:hAnsi="宋体" w:eastAsia="宋体" w:cs="宋体"/>
          <w:b/>
          <w:i w:val="0"/>
          <w:caps w:val="0"/>
          <w:color w:val="333333"/>
          <w:spacing w:val="0"/>
          <w:sz w:val="24"/>
          <w:szCs w:val="24"/>
          <w:shd w:val="clear" w:fill="FFFFFF"/>
          <w:lang w:eastAsia="zh-CN"/>
        </w:rPr>
        <w:t>【同时符合、分别报告】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对同时符合两项以上大额交易标准的交易，金融机构应当分别提交大额交易报告。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333333"/>
          <w:spacing w:val="0"/>
          <w:sz w:val="24"/>
          <w:szCs w:val="24"/>
          <w:shd w:val="clear" w:fill="FFFFFF"/>
          <w:lang w:eastAsia="zh-CN"/>
        </w:rPr>
      </w:pPr>
      <w:r>
        <w:rPr>
          <w:rFonts w:hint="eastAsia" w:ascii="宋体" w:hAnsi="宋体" w:eastAsia="宋体" w:cs="宋体"/>
          <w:b/>
          <w:i w:val="0"/>
          <w:caps w:val="0"/>
          <w:color w:val="333333"/>
          <w:spacing w:val="0"/>
          <w:sz w:val="24"/>
          <w:szCs w:val="24"/>
          <w:shd w:val="clear" w:fill="FFFFFF"/>
        </w:rPr>
        <w:t>第七条</w:t>
      </w:r>
      <w:r>
        <w:rPr>
          <w:rFonts w:hint="eastAsia" w:ascii="宋体" w:hAnsi="宋体" w:eastAsia="宋体" w:cs="宋体"/>
          <w:b/>
          <w:i w:val="0"/>
          <w:caps w:val="0"/>
          <w:color w:val="333333"/>
          <w:spacing w:val="0"/>
          <w:sz w:val="24"/>
          <w:szCs w:val="24"/>
          <w:shd w:val="clear" w:fill="FFFFFF"/>
          <w:lang w:eastAsia="zh-CN"/>
        </w:rPr>
        <w:t>【可不报告的情形】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对符合下列条件之一的大额交易，如未发现交易或行为可疑的，金融机构可以不报告：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（一）定期存款到期后，不直接提取或者划转，而是本金或者本金加全部或者部分利息续存入在同一金融机构开立的同一户名下的另一账户。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活期存款的本金或者本金加全部或者部分利息转为在同一金融机构开立的同一户名下的另一账户内的定期存款。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定期存款的本金或者本金加全部或者部分利息转为在同一金融机构开立的同一户名下的另一账户内的活期存款。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（二）自然人实盘外汇买卖交易过程中不同外币币种间的转换。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（三）交易一方为各级党的机关、国家权力机关、行政机关、司法机关、军事机关、人民政协机关和人民解放军、武警部队，但不包含其下属的各类企事业单位。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（四）金融机构同业拆借、在银行间债券市场进行的债券交易。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（五）金融机构在黄金交易所进行的黄金交易。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（六）金融机构内部调拨资金。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（七）国际金融组织和外国政府贷款转贷业务项下的交易。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（八）国际金融组织和外国政府贷款项下的债务掉期交易。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（九）政策性银行、商业银行、农村合作银行、农村信用社、村镇银行办理的税收、错账冲正、利息支付。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（十）中国人民银行确定的其他情形。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333333"/>
          <w:spacing w:val="0"/>
          <w:sz w:val="24"/>
          <w:szCs w:val="24"/>
          <w:shd w:val="clear" w:fill="FFFFFF"/>
          <w:lang w:eastAsia="zh-CN"/>
        </w:rPr>
      </w:pPr>
      <w:r>
        <w:rPr>
          <w:rFonts w:hint="eastAsia" w:ascii="宋体" w:hAnsi="宋体" w:eastAsia="宋体" w:cs="宋体"/>
          <w:b/>
          <w:i w:val="0"/>
          <w:caps w:val="0"/>
          <w:color w:val="333333"/>
          <w:spacing w:val="0"/>
          <w:sz w:val="24"/>
          <w:szCs w:val="24"/>
          <w:shd w:val="clear" w:fill="FFFFFF"/>
        </w:rPr>
        <w:t>第八条</w:t>
      </w:r>
      <w:r>
        <w:rPr>
          <w:rFonts w:hint="eastAsia" w:ascii="宋体" w:hAnsi="宋体" w:eastAsia="宋体" w:cs="宋体"/>
          <w:b/>
          <w:i w:val="0"/>
          <w:caps w:val="0"/>
          <w:color w:val="333333"/>
          <w:spacing w:val="0"/>
          <w:sz w:val="24"/>
          <w:szCs w:val="24"/>
          <w:shd w:val="clear" w:fill="FFFFFF"/>
          <w:lang w:eastAsia="zh-CN"/>
        </w:rPr>
        <w:t>【报告时限、报告方式】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金融机构应当在大额交易发生之日起5个工作日内以电子方式提交大额交易报告。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333333"/>
          <w:spacing w:val="0"/>
          <w:sz w:val="24"/>
          <w:szCs w:val="24"/>
          <w:bdr w:val="none" w:color="auto" w:sz="0" w:space="0"/>
          <w:shd w:val="clear" w:fill="FFFFFF"/>
        </w:rPr>
      </w:pPr>
      <w:r>
        <w:rPr>
          <w:rFonts w:hint="eastAsia" w:ascii="宋体" w:hAnsi="宋体" w:eastAsia="宋体" w:cs="宋体"/>
          <w:b/>
          <w:i w:val="0"/>
          <w:caps w:val="0"/>
          <w:color w:val="333333"/>
          <w:spacing w:val="0"/>
          <w:sz w:val="24"/>
          <w:szCs w:val="24"/>
          <w:bdr w:val="none" w:color="auto" w:sz="0" w:space="0"/>
          <w:shd w:val="clear" w:fill="FFFFFF"/>
        </w:rPr>
        <w:t>第九条</w:t>
      </w:r>
      <w:r>
        <w:rPr>
          <w:rFonts w:hint="eastAsia" w:ascii="宋体" w:hAnsi="宋体" w:eastAsia="宋体" w:cs="宋体"/>
          <w:sz w:val="24"/>
          <w:szCs w:val="24"/>
          <w:lang w:eastAsia="zh-CN"/>
        </w:rPr>
        <w:t>【金融机构与客户大额交易的银行报告】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下列金融机构与客户进行金融交易并通过银行账户划转款项的，由银行机构按照本办法规定提交大额交易报告：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（一）证券公司、期货公司、基金管理公司。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（二）保险公司、保险资产管理公司、保险专业代理公司、保险经纪公司。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（三）信托公司、金融资产管理公司、企业集团财务公司、金融租赁公司、汽车金融公司、消费金融公司、货币经纪公司、贷款公司。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333333"/>
          <w:spacing w:val="0"/>
          <w:sz w:val="24"/>
          <w:szCs w:val="24"/>
          <w:shd w:val="clear" w:fill="FFFFFF"/>
          <w:lang w:eastAsia="zh-CN"/>
        </w:rPr>
      </w:pPr>
      <w:r>
        <w:rPr>
          <w:rFonts w:hint="eastAsia" w:ascii="宋体" w:hAnsi="宋体" w:eastAsia="宋体" w:cs="宋体"/>
          <w:b/>
          <w:i w:val="0"/>
          <w:caps w:val="0"/>
          <w:color w:val="333333"/>
          <w:spacing w:val="0"/>
          <w:sz w:val="24"/>
          <w:szCs w:val="24"/>
          <w:shd w:val="clear" w:fill="FFFFFF"/>
        </w:rPr>
        <w:t>第十条</w:t>
      </w:r>
      <w:r>
        <w:rPr>
          <w:rFonts w:hint="eastAsia" w:ascii="宋体" w:hAnsi="宋体" w:eastAsia="宋体" w:cs="宋体"/>
          <w:b/>
          <w:i w:val="0"/>
          <w:caps w:val="0"/>
          <w:color w:val="333333"/>
          <w:spacing w:val="0"/>
          <w:sz w:val="24"/>
          <w:szCs w:val="24"/>
          <w:shd w:val="clear" w:fill="FFFFFF"/>
          <w:lang w:eastAsia="zh-CN"/>
        </w:rPr>
        <w:t>【报告主体的确定】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客户通过在境内金融机构开立的账户或者境内银行卡所发生的大额交易，</w:t>
      </w:r>
      <w:r>
        <w:rPr>
          <w:rFonts w:hint="eastAsia" w:ascii="宋体" w:hAnsi="宋体" w:eastAsia="宋体" w:cs="宋体"/>
          <w:i w:val="0"/>
          <w:caps w:val="0"/>
          <w:color w:val="C55A11" w:themeColor="accent2" w:themeShade="BF"/>
          <w:spacing w:val="0"/>
          <w:sz w:val="24"/>
          <w:szCs w:val="24"/>
          <w:bdr w:val="none" w:color="auto" w:sz="0" w:space="0"/>
          <w:shd w:val="clear" w:fill="FFFFFF"/>
        </w:rPr>
        <w:t>由开立账户的金融机构或者发卡银行报告</w:t>
      </w:r>
      <w:r>
        <w:rPr>
          <w:rFonts w:hint="eastAsia" w:ascii="宋体" w:hAnsi="宋体" w:eastAsia="宋体" w:cs="宋体"/>
          <w:i w:val="0"/>
          <w:caps w:val="0"/>
          <w:color w:val="333333"/>
          <w:spacing w:val="0"/>
          <w:sz w:val="24"/>
          <w:szCs w:val="24"/>
          <w:bdr w:val="none" w:color="auto" w:sz="0" w:space="0"/>
          <w:shd w:val="clear" w:fill="FFFFFF"/>
        </w:rPr>
        <w:t>；客户通过境外银行卡所发生的大额交易，由收单机构报告；客户不通过账户或者银行卡发生的大额交易，由办理业务的金融机构报告。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第三章　可疑交易报告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333333"/>
          <w:spacing w:val="0"/>
          <w:sz w:val="24"/>
          <w:szCs w:val="24"/>
          <w:shd w:val="clear" w:fill="FFFFFF"/>
          <w:lang w:eastAsia="zh-CN"/>
        </w:rPr>
      </w:pPr>
      <w:r>
        <w:rPr>
          <w:rFonts w:hint="eastAsia" w:ascii="宋体" w:hAnsi="宋体" w:eastAsia="宋体" w:cs="宋体"/>
          <w:b/>
          <w:i w:val="0"/>
          <w:caps w:val="0"/>
          <w:color w:val="333333"/>
          <w:spacing w:val="0"/>
          <w:sz w:val="24"/>
          <w:szCs w:val="24"/>
          <w:shd w:val="clear" w:fill="FFFFFF"/>
        </w:rPr>
        <w:t>第十一条</w:t>
      </w:r>
      <w:r>
        <w:rPr>
          <w:rFonts w:hint="eastAsia" w:ascii="宋体" w:hAnsi="宋体" w:eastAsia="宋体" w:cs="宋体"/>
          <w:b/>
          <w:i w:val="0"/>
          <w:caps w:val="0"/>
          <w:color w:val="333333"/>
          <w:spacing w:val="0"/>
          <w:sz w:val="24"/>
          <w:szCs w:val="24"/>
          <w:shd w:val="clear" w:fill="FFFFFF"/>
          <w:lang w:eastAsia="zh-CN"/>
        </w:rPr>
        <w:t>【涉嫌犯罪的可疑交易报告】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金融机构发现或者有</w:t>
      </w:r>
      <w:r>
        <w:rPr>
          <w:rFonts w:hint="eastAsia" w:ascii="宋体" w:hAnsi="宋体" w:eastAsia="宋体" w:cs="宋体"/>
          <w:i w:val="0"/>
          <w:caps w:val="0"/>
          <w:color w:val="C55A11" w:themeColor="accent2" w:themeShade="BF"/>
          <w:spacing w:val="0"/>
          <w:sz w:val="24"/>
          <w:szCs w:val="24"/>
          <w:bdr w:val="none" w:color="auto" w:sz="0" w:space="0"/>
          <w:shd w:val="clear" w:fill="FFFFFF"/>
        </w:rPr>
        <w:t>合理理由怀疑客户、客户的资金或者其他资产、客户的交易或者试图进行的交易与洗钱、恐怖融资等犯罪活动相关</w:t>
      </w:r>
      <w:r>
        <w:rPr>
          <w:rFonts w:hint="eastAsia" w:ascii="宋体" w:hAnsi="宋体" w:eastAsia="宋体" w:cs="宋体"/>
          <w:i w:val="0"/>
          <w:caps w:val="0"/>
          <w:color w:val="333333"/>
          <w:spacing w:val="0"/>
          <w:sz w:val="24"/>
          <w:szCs w:val="24"/>
          <w:bdr w:val="none" w:color="auto" w:sz="0" w:space="0"/>
          <w:shd w:val="clear" w:fill="FFFFFF"/>
        </w:rPr>
        <w:t>的，不论所涉资金金额或者资产价值大小，应当提交可疑交易报告。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333333"/>
          <w:spacing w:val="0"/>
          <w:sz w:val="24"/>
          <w:szCs w:val="24"/>
          <w:shd w:val="clear" w:fill="FFFFFF"/>
          <w:lang w:eastAsia="zh-CN"/>
        </w:rPr>
      </w:pPr>
      <w:r>
        <w:rPr>
          <w:rFonts w:hint="eastAsia" w:ascii="宋体" w:hAnsi="宋体" w:eastAsia="宋体" w:cs="宋体"/>
          <w:b/>
          <w:i w:val="0"/>
          <w:caps w:val="0"/>
          <w:color w:val="333333"/>
          <w:spacing w:val="0"/>
          <w:sz w:val="24"/>
          <w:szCs w:val="24"/>
          <w:shd w:val="clear" w:fill="FFFFFF"/>
        </w:rPr>
        <w:t>第十二条</w:t>
      </w:r>
      <w:r>
        <w:rPr>
          <w:rFonts w:hint="eastAsia" w:ascii="宋体" w:hAnsi="宋体" w:eastAsia="宋体" w:cs="宋体"/>
          <w:b/>
          <w:i w:val="0"/>
          <w:caps w:val="0"/>
          <w:color w:val="333333"/>
          <w:spacing w:val="0"/>
          <w:sz w:val="24"/>
          <w:szCs w:val="24"/>
          <w:shd w:val="clear" w:fill="FFFFFF"/>
          <w:lang w:eastAsia="zh-CN"/>
        </w:rPr>
        <w:t>【制订交易监测标准】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金融机构应当制定本机构的交易监测标准，并对其有效性负责。交易监测标准包括并不限于客户的身份、行为，交易的资金来源、金额、频率、流向、性质等存在异常的情形，并应当参考以下因素：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（一）中国人民银行及其分支机构发布的反洗钱、反恐怖融资规定及指引、风险提示、洗钱类型分析报告和风险评估报告。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（二）公安机关、司法机关发布的犯罪形势分析、风险提示、犯罪类型报告和工作报告。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（三）本机构的资产规模、地域分布、业务特点、客户群体、交易特征，洗钱和恐怖融资风险评估结论。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（四）中国人民银行及其分支机构出具的反洗钱监管意见。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（五）中国人民银行要求关注的其他因素。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333333"/>
          <w:spacing w:val="0"/>
          <w:sz w:val="24"/>
          <w:szCs w:val="24"/>
          <w:shd w:val="clear" w:fill="FFFFFF"/>
          <w:lang w:eastAsia="zh-CN"/>
        </w:rPr>
      </w:pPr>
      <w:r>
        <w:rPr>
          <w:rFonts w:hint="eastAsia" w:ascii="宋体" w:hAnsi="宋体" w:eastAsia="宋体" w:cs="宋体"/>
          <w:b/>
          <w:i w:val="0"/>
          <w:caps w:val="0"/>
          <w:color w:val="333333"/>
          <w:spacing w:val="0"/>
          <w:sz w:val="24"/>
          <w:szCs w:val="24"/>
          <w:shd w:val="clear" w:fill="FFFFFF"/>
        </w:rPr>
        <w:t>第十三条</w:t>
      </w:r>
      <w:r>
        <w:rPr>
          <w:rFonts w:hint="eastAsia" w:ascii="宋体" w:hAnsi="宋体" w:eastAsia="宋体" w:cs="宋体"/>
          <w:b/>
          <w:i w:val="0"/>
          <w:caps w:val="0"/>
          <w:color w:val="333333"/>
          <w:spacing w:val="0"/>
          <w:sz w:val="24"/>
          <w:szCs w:val="24"/>
          <w:shd w:val="clear" w:fill="FFFFFF"/>
          <w:lang w:eastAsia="zh-CN"/>
        </w:rPr>
        <w:t>【交易监测标准的评估、完善】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金融机构应当定期对交易监测标准进行评估，并根据评估结果完善交易监测标准。如发生突发情况或者应当关注的情况的，金融机构应当及时评估和完善交易监测标准。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333333"/>
          <w:spacing w:val="0"/>
          <w:sz w:val="24"/>
          <w:szCs w:val="24"/>
          <w:shd w:val="clear" w:fill="FFFFFF"/>
          <w:lang w:eastAsia="zh-CN"/>
        </w:rPr>
      </w:pPr>
      <w:r>
        <w:rPr>
          <w:rFonts w:hint="eastAsia" w:ascii="宋体" w:hAnsi="宋体" w:eastAsia="宋体" w:cs="宋体"/>
          <w:b/>
          <w:i w:val="0"/>
          <w:caps w:val="0"/>
          <w:color w:val="333333"/>
          <w:spacing w:val="0"/>
          <w:sz w:val="24"/>
          <w:szCs w:val="24"/>
          <w:shd w:val="clear" w:fill="FFFFFF"/>
        </w:rPr>
        <w:t>第十四条</w:t>
      </w:r>
      <w:r>
        <w:rPr>
          <w:rFonts w:hint="eastAsia" w:ascii="宋体" w:hAnsi="宋体" w:eastAsia="宋体" w:cs="宋体"/>
          <w:b/>
          <w:i w:val="0"/>
          <w:caps w:val="0"/>
          <w:color w:val="333333"/>
          <w:spacing w:val="0"/>
          <w:sz w:val="24"/>
          <w:szCs w:val="24"/>
          <w:shd w:val="clear" w:fill="FFFFFF"/>
          <w:lang w:eastAsia="zh-CN"/>
        </w:rPr>
        <w:t>【人工分析、识别、记录】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金融机构应当对通过交易监测标准筛选出的交易进行人工分析、识别，并记录分析过程；不作为可疑交易报告的，应当记录分析排除的合理理由；确认为可疑交易的，应当在可疑交易报告理由中完整记录对客户身份特征、交易特征或行为特征的分析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333333"/>
          <w:spacing w:val="0"/>
          <w:sz w:val="24"/>
          <w:szCs w:val="24"/>
          <w:shd w:val="clear" w:fill="FFFFFF"/>
          <w:lang w:eastAsia="zh-CN"/>
        </w:rPr>
      </w:pPr>
      <w:r>
        <w:rPr>
          <w:rFonts w:hint="eastAsia" w:ascii="宋体" w:hAnsi="宋体" w:eastAsia="宋体" w:cs="宋体"/>
          <w:b/>
          <w:i w:val="0"/>
          <w:caps w:val="0"/>
          <w:color w:val="333333"/>
          <w:spacing w:val="0"/>
          <w:sz w:val="24"/>
          <w:szCs w:val="24"/>
          <w:shd w:val="clear" w:fill="FFFFFF"/>
        </w:rPr>
        <w:t>第十五条</w:t>
      </w:r>
      <w:r>
        <w:rPr>
          <w:rFonts w:hint="eastAsia" w:ascii="宋体" w:hAnsi="宋体" w:eastAsia="宋体" w:cs="宋体"/>
          <w:b/>
          <w:i w:val="0"/>
          <w:caps w:val="0"/>
          <w:color w:val="333333"/>
          <w:spacing w:val="0"/>
          <w:sz w:val="24"/>
          <w:szCs w:val="24"/>
          <w:shd w:val="clear" w:fill="FFFFFF"/>
          <w:lang w:eastAsia="zh-CN"/>
        </w:rPr>
        <w:t>【报告方式、报告时限】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金融机构应当在按本机构可疑交易报告内部操作规程确认为可疑交易后，及时以电子方式提交可疑交易报告，最迟不超过5个工作日。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333333"/>
          <w:spacing w:val="0"/>
          <w:sz w:val="24"/>
          <w:szCs w:val="24"/>
          <w:shd w:val="clear" w:fill="FFFFFF"/>
          <w:lang w:eastAsia="zh-CN"/>
        </w:rPr>
      </w:pPr>
      <w:r>
        <w:rPr>
          <w:rFonts w:hint="eastAsia" w:ascii="宋体" w:hAnsi="宋体" w:eastAsia="宋体" w:cs="宋体"/>
          <w:b/>
          <w:i w:val="0"/>
          <w:caps w:val="0"/>
          <w:color w:val="333333"/>
          <w:spacing w:val="0"/>
          <w:sz w:val="24"/>
          <w:szCs w:val="24"/>
          <w:shd w:val="clear" w:fill="FFFFFF"/>
        </w:rPr>
        <w:t>第十六条</w:t>
      </w:r>
      <w:r>
        <w:rPr>
          <w:rFonts w:hint="eastAsia" w:ascii="宋体" w:hAnsi="宋体" w:eastAsia="宋体" w:cs="宋体"/>
          <w:b/>
          <w:i w:val="0"/>
          <w:caps w:val="0"/>
          <w:color w:val="333333"/>
          <w:spacing w:val="0"/>
          <w:sz w:val="24"/>
          <w:szCs w:val="24"/>
          <w:shd w:val="clear" w:fill="FFFFFF"/>
          <w:lang w:eastAsia="zh-CN"/>
        </w:rPr>
        <w:t>【既属大额交易、又属可疑交易的分别报告】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既属于大额交易又属于可疑交易的交易，金融机构应当分别提交大额交易报告和可疑交易报告。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333333"/>
          <w:spacing w:val="0"/>
          <w:sz w:val="24"/>
          <w:szCs w:val="24"/>
          <w:shd w:val="clear" w:fill="FFFFFF"/>
          <w:lang w:eastAsia="zh-CN"/>
        </w:rPr>
      </w:pPr>
      <w:r>
        <w:rPr>
          <w:rFonts w:hint="eastAsia" w:ascii="宋体" w:hAnsi="宋体" w:eastAsia="宋体" w:cs="宋体"/>
          <w:b/>
          <w:i w:val="0"/>
          <w:caps w:val="0"/>
          <w:color w:val="333333"/>
          <w:spacing w:val="0"/>
          <w:sz w:val="24"/>
          <w:szCs w:val="24"/>
          <w:shd w:val="clear" w:fill="FFFFFF"/>
        </w:rPr>
        <w:t>第十七条</w:t>
      </w:r>
      <w:r>
        <w:rPr>
          <w:rFonts w:hint="eastAsia" w:ascii="宋体" w:hAnsi="宋体" w:eastAsia="宋体" w:cs="宋体"/>
          <w:b/>
          <w:i w:val="0"/>
          <w:caps w:val="0"/>
          <w:color w:val="333333"/>
          <w:spacing w:val="0"/>
          <w:sz w:val="24"/>
          <w:szCs w:val="24"/>
          <w:shd w:val="clear" w:fill="FFFFFF"/>
          <w:lang w:eastAsia="zh-CN"/>
        </w:rPr>
        <w:t>【同步报告并配合反洗钱调查的情形】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可疑交易符合下列情形之一的，金融机构应当在向中国反洗钱监测分析中心提交可疑交易报告的同时，以电子形式或书面形式向所在地中国人民银行或者其分支机构报告，并配合反洗钱调查：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C55A11" w:themeColor="accent2" w:themeShade="BF"/>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w:t>
      </w:r>
      <w:r>
        <w:rPr>
          <w:rFonts w:hint="eastAsia" w:ascii="宋体" w:hAnsi="宋体" w:eastAsia="宋体" w:cs="宋体"/>
          <w:i w:val="0"/>
          <w:caps w:val="0"/>
          <w:color w:val="C55A11" w:themeColor="accent2" w:themeShade="BF"/>
          <w:spacing w:val="0"/>
          <w:sz w:val="24"/>
          <w:szCs w:val="24"/>
          <w:bdr w:val="none" w:color="auto" w:sz="0" w:space="0"/>
          <w:shd w:val="clear" w:fill="FFFFFF"/>
        </w:rPr>
        <w:t>明显涉嫌洗钱、恐怖融资等犯罪活动的。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C55A11" w:themeColor="accent2" w:themeShade="BF"/>
          <w:spacing w:val="0"/>
          <w:sz w:val="24"/>
          <w:szCs w:val="24"/>
          <w:bdr w:val="none" w:color="auto" w:sz="0" w:space="0"/>
          <w:shd w:val="clear" w:fill="FFFFFF"/>
        </w:rPr>
        <w:t>（二）严重危害国家安全或者影响社会稳定的</w:t>
      </w:r>
      <w:r>
        <w:rPr>
          <w:rFonts w:hint="eastAsia" w:ascii="宋体" w:hAnsi="宋体" w:eastAsia="宋体" w:cs="宋体"/>
          <w:i w:val="0"/>
          <w:caps w:val="0"/>
          <w:color w:val="333333"/>
          <w:spacing w:val="0"/>
          <w:sz w:val="24"/>
          <w:szCs w:val="24"/>
          <w:bdr w:val="none" w:color="auto" w:sz="0" w:space="0"/>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（三）其他情节严重或者情况紧急的情形。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333333"/>
          <w:spacing w:val="0"/>
          <w:sz w:val="24"/>
          <w:szCs w:val="24"/>
          <w:shd w:val="clear" w:fill="FFFFFF"/>
          <w:lang w:eastAsia="zh-CN"/>
        </w:rPr>
      </w:pPr>
      <w:r>
        <w:rPr>
          <w:rFonts w:hint="eastAsia" w:ascii="宋体" w:hAnsi="宋体" w:eastAsia="宋体" w:cs="宋体"/>
          <w:b/>
          <w:i w:val="0"/>
          <w:caps w:val="0"/>
          <w:color w:val="333333"/>
          <w:spacing w:val="0"/>
          <w:sz w:val="24"/>
          <w:szCs w:val="24"/>
          <w:shd w:val="clear" w:fill="FFFFFF"/>
        </w:rPr>
        <w:t>第十八条</w:t>
      </w:r>
      <w:r>
        <w:rPr>
          <w:rFonts w:hint="eastAsia" w:ascii="宋体" w:hAnsi="宋体" w:eastAsia="宋体" w:cs="宋体"/>
          <w:b/>
          <w:i w:val="0"/>
          <w:caps w:val="0"/>
          <w:color w:val="333333"/>
          <w:spacing w:val="0"/>
          <w:sz w:val="24"/>
          <w:szCs w:val="24"/>
          <w:shd w:val="clear" w:fill="FFFFFF"/>
          <w:lang w:eastAsia="zh-CN"/>
        </w:rPr>
        <w:t>【恐怖组织、恐怖人员交易的立即报告】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金融机构应当对下列恐怖活动组织及恐怖活动人员名单开展实时监测，有合理理由怀疑客户或者其交易对手、资金或者其他资产与名单相关的，应当在立即向中国反洗钱监测分析中心提交可疑交易报告的同时，以电子形式或书面形式向所在地中国人民银行或者其分支机构报告，并按照相关主管部门的要求依法采取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（一）中国政府发布的或者要求执行的恐怖活动组织及恐怖活动人员名单。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（二）联合国安理会决议中所列的恐怖活动组织及恐怖活动人员名单。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（三）中国人民银行要求关注的其他涉嫌恐怖活动的组织及人员名单。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恐怖活动组织及恐怖活动人员名单调整的，金融机构应当立即开展回溯性调查，并按前款规定提交可疑交易报告。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法律、行政法规、规章对上述名单的监控另有规定的，从其规定。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b/>
          <w:sz w:val="24"/>
          <w:szCs w:val="24"/>
        </w:rPr>
      </w:pPr>
      <w:r>
        <w:rPr>
          <w:rFonts w:hint="eastAsia"/>
          <w:b/>
          <w:sz w:val="24"/>
          <w:szCs w:val="24"/>
        </w:rPr>
        <w:t>第四章　内部管理措施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333333"/>
          <w:spacing w:val="0"/>
          <w:sz w:val="24"/>
          <w:szCs w:val="24"/>
          <w:shd w:val="clear" w:fill="FFFFFF"/>
          <w:lang w:eastAsia="zh-CN"/>
        </w:rPr>
      </w:pPr>
      <w:r>
        <w:rPr>
          <w:rFonts w:hint="eastAsia" w:ascii="宋体" w:hAnsi="宋体" w:eastAsia="宋体" w:cs="宋体"/>
          <w:b/>
          <w:i w:val="0"/>
          <w:caps w:val="0"/>
          <w:color w:val="333333"/>
          <w:spacing w:val="0"/>
          <w:sz w:val="24"/>
          <w:szCs w:val="24"/>
          <w:shd w:val="clear" w:fill="FFFFFF"/>
        </w:rPr>
        <w:t>第十九条</w:t>
      </w:r>
      <w:r>
        <w:rPr>
          <w:rFonts w:hint="eastAsia" w:ascii="宋体" w:hAnsi="宋体" w:eastAsia="宋体" w:cs="宋体"/>
          <w:b/>
          <w:i w:val="0"/>
          <w:caps w:val="0"/>
          <w:color w:val="333333"/>
          <w:spacing w:val="0"/>
          <w:sz w:val="24"/>
          <w:szCs w:val="24"/>
          <w:shd w:val="clear" w:fill="FFFFFF"/>
          <w:lang w:eastAsia="zh-CN"/>
        </w:rPr>
        <w:t>【内部管理制度、操作规程】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金融机构应当根据本办法制定大额交易和可疑交易报告内部管理制度和操作规程，对本机构的大额交易和可疑交易报告工作做出统一要求，并对分支机构、附属机构大额交易和可疑交易报告制度的执行情况进行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金融机构应当将大额交易和可疑交易报告制度向中国人民银行或其总部所在地的中国人民银行分支机构报备。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333333"/>
          <w:spacing w:val="0"/>
          <w:sz w:val="24"/>
          <w:szCs w:val="24"/>
          <w:shd w:val="clear" w:fill="FFFFFF"/>
          <w:lang w:eastAsia="zh-CN"/>
        </w:rPr>
      </w:pPr>
      <w:r>
        <w:rPr>
          <w:rFonts w:hint="eastAsia" w:ascii="宋体" w:hAnsi="宋体" w:eastAsia="宋体" w:cs="宋体"/>
          <w:b/>
          <w:i w:val="0"/>
          <w:caps w:val="0"/>
          <w:color w:val="333333"/>
          <w:spacing w:val="0"/>
          <w:sz w:val="24"/>
          <w:szCs w:val="24"/>
          <w:shd w:val="clear" w:fill="FFFFFF"/>
        </w:rPr>
        <w:t>第二十条</w:t>
      </w:r>
      <w:r>
        <w:rPr>
          <w:rFonts w:hint="eastAsia" w:ascii="宋体" w:hAnsi="宋体" w:eastAsia="宋体" w:cs="宋体"/>
          <w:b/>
          <w:i w:val="0"/>
          <w:caps w:val="0"/>
          <w:color w:val="333333"/>
          <w:spacing w:val="0"/>
          <w:sz w:val="24"/>
          <w:szCs w:val="24"/>
          <w:shd w:val="clear" w:fill="FFFFFF"/>
          <w:lang w:eastAsia="zh-CN"/>
        </w:rPr>
        <w:t>【专职反洗钱岗位】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金融机构应当设立专职的反洗钱岗位，配备专职人员负责大额交易和可疑交易报告工作，并提供必要的资源保障和信息支持。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333333"/>
          <w:spacing w:val="0"/>
          <w:sz w:val="24"/>
          <w:szCs w:val="24"/>
          <w:shd w:val="clear" w:fill="FFFFFF"/>
          <w:lang w:eastAsia="zh-CN"/>
        </w:rPr>
      </w:pPr>
      <w:r>
        <w:rPr>
          <w:rFonts w:hint="eastAsia" w:ascii="宋体" w:hAnsi="宋体" w:eastAsia="宋体" w:cs="宋体"/>
          <w:b/>
          <w:i w:val="0"/>
          <w:caps w:val="0"/>
          <w:color w:val="333333"/>
          <w:spacing w:val="0"/>
          <w:sz w:val="24"/>
          <w:szCs w:val="24"/>
          <w:shd w:val="clear" w:fill="FFFFFF"/>
        </w:rPr>
        <w:t>第二十一条</w:t>
      </w:r>
      <w:r>
        <w:rPr>
          <w:rFonts w:hint="eastAsia" w:ascii="宋体" w:hAnsi="宋体" w:eastAsia="宋体" w:cs="宋体"/>
          <w:b/>
          <w:i w:val="0"/>
          <w:caps w:val="0"/>
          <w:color w:val="333333"/>
          <w:spacing w:val="0"/>
          <w:sz w:val="24"/>
          <w:szCs w:val="24"/>
          <w:shd w:val="clear" w:fill="FFFFFF"/>
          <w:lang w:eastAsia="zh-CN"/>
        </w:rPr>
        <w:t>【监测系统】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金融机构应当建立健全大额交易和可疑交易监测系统，以客户为基本单位开展资金交易的监测分析，全面、完整、准确地采集各业务系统的客户身份信息和交易信息，保障大额交易和可疑交易监测分析的数据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333333"/>
          <w:spacing w:val="0"/>
          <w:sz w:val="24"/>
          <w:szCs w:val="24"/>
          <w:shd w:val="clear" w:fill="FFFFFF"/>
          <w:lang w:eastAsia="zh-CN"/>
        </w:rPr>
      </w:pPr>
      <w:r>
        <w:rPr>
          <w:rFonts w:hint="eastAsia" w:ascii="宋体" w:hAnsi="宋体" w:eastAsia="宋体" w:cs="宋体"/>
          <w:b/>
          <w:i w:val="0"/>
          <w:caps w:val="0"/>
          <w:color w:val="333333"/>
          <w:spacing w:val="0"/>
          <w:sz w:val="24"/>
          <w:szCs w:val="24"/>
          <w:shd w:val="clear" w:fill="FFFFFF"/>
        </w:rPr>
        <w:t>第二十二条</w:t>
      </w:r>
      <w:r>
        <w:rPr>
          <w:rFonts w:hint="eastAsia" w:ascii="宋体" w:hAnsi="宋体" w:eastAsia="宋体" w:cs="宋体"/>
          <w:b/>
          <w:i w:val="0"/>
          <w:caps w:val="0"/>
          <w:color w:val="333333"/>
          <w:spacing w:val="0"/>
          <w:sz w:val="24"/>
          <w:szCs w:val="24"/>
          <w:shd w:val="clear" w:fill="FFFFFF"/>
          <w:lang w:eastAsia="zh-CN"/>
        </w:rPr>
        <w:t>【保存期限】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金融机构应当按照完整准确、安全保密的原则，将大额交易和可疑交易报告、反映交易分析和内部处理情况的工作记录等资料自生成之日起</w:t>
      </w:r>
      <w:r>
        <w:rPr>
          <w:rFonts w:hint="eastAsia" w:ascii="宋体" w:hAnsi="宋体" w:eastAsia="宋体" w:cs="宋体"/>
          <w:i w:val="0"/>
          <w:caps w:val="0"/>
          <w:color w:val="C55A11" w:themeColor="accent2" w:themeShade="BF"/>
          <w:spacing w:val="0"/>
          <w:sz w:val="24"/>
          <w:szCs w:val="24"/>
          <w:bdr w:val="none" w:color="auto" w:sz="0" w:space="0"/>
          <w:shd w:val="clear" w:fill="FFFFFF"/>
        </w:rPr>
        <w:t>至少保存5年</w:t>
      </w:r>
      <w:r>
        <w:rPr>
          <w:rFonts w:hint="eastAsia" w:ascii="宋体" w:hAnsi="宋体" w:eastAsia="宋体" w:cs="宋体"/>
          <w:i w:val="0"/>
          <w:caps w:val="0"/>
          <w:color w:val="333333"/>
          <w:spacing w:val="0"/>
          <w:sz w:val="24"/>
          <w:szCs w:val="24"/>
          <w:bdr w:val="none" w:color="auto" w:sz="0" w:space="0"/>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保存的信息资料涉及正在被反洗钱调查的可疑交易活动，且反洗钱调查工作在前款规定的最低保存期届满时仍未结束的，金融机构应将其保存至反洗钱调查工作结束。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bdr w:val="none" w:color="auto" w:sz="0" w:space="0"/>
          <w:shd w:val="clear" w:fill="FFFFFF"/>
          <w:lang w:eastAsia="zh-CN"/>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333333"/>
          <w:spacing w:val="0"/>
          <w:sz w:val="24"/>
          <w:szCs w:val="24"/>
          <w:shd w:val="clear" w:fill="FFFFFF"/>
          <w:lang w:eastAsia="zh-CN"/>
        </w:rPr>
      </w:pPr>
      <w:r>
        <w:rPr>
          <w:rFonts w:hint="eastAsia" w:ascii="宋体" w:hAnsi="宋体" w:eastAsia="宋体" w:cs="宋体"/>
          <w:b/>
          <w:i w:val="0"/>
          <w:caps w:val="0"/>
          <w:color w:val="333333"/>
          <w:spacing w:val="0"/>
          <w:sz w:val="24"/>
          <w:szCs w:val="24"/>
          <w:shd w:val="clear" w:fill="FFFFFF"/>
        </w:rPr>
        <w:t>第二十三条</w:t>
      </w:r>
      <w:r>
        <w:rPr>
          <w:rFonts w:hint="eastAsia" w:ascii="宋体" w:hAnsi="宋体" w:eastAsia="宋体" w:cs="宋体"/>
          <w:b/>
          <w:i w:val="0"/>
          <w:caps w:val="0"/>
          <w:color w:val="333333"/>
          <w:spacing w:val="0"/>
          <w:sz w:val="24"/>
          <w:szCs w:val="24"/>
          <w:shd w:val="clear" w:fill="FFFFFF"/>
          <w:lang w:eastAsia="zh-CN"/>
        </w:rPr>
        <w:t>【保密】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金融机构及其工作人员应当对依法履行大额交易和可疑交易报告义务获得的客户身份资料和交易信息，对依法监测、分析、报告可疑交易的有关情况予以保密，不得违反规定向任何单位和个人提供。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b/>
          <w:sz w:val="24"/>
          <w:szCs w:val="24"/>
        </w:rPr>
      </w:pPr>
      <w:r>
        <w:rPr>
          <w:rFonts w:hint="eastAsia"/>
          <w:b/>
          <w:sz w:val="24"/>
          <w:szCs w:val="24"/>
        </w:rPr>
        <w:t>第五章　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333333"/>
          <w:spacing w:val="0"/>
          <w:sz w:val="24"/>
          <w:szCs w:val="24"/>
          <w:shd w:val="clear" w:fill="FFFFFF"/>
          <w:lang w:eastAsia="zh-CN"/>
        </w:rPr>
      </w:pPr>
      <w:r>
        <w:rPr>
          <w:rFonts w:hint="eastAsia" w:ascii="宋体" w:hAnsi="宋体" w:eastAsia="宋体" w:cs="宋体"/>
          <w:b/>
          <w:i w:val="0"/>
          <w:caps w:val="0"/>
          <w:color w:val="333333"/>
          <w:spacing w:val="0"/>
          <w:sz w:val="24"/>
          <w:szCs w:val="24"/>
          <w:shd w:val="clear" w:fill="FFFFFF"/>
        </w:rPr>
        <w:t>第二十四条</w:t>
      </w:r>
      <w:r>
        <w:rPr>
          <w:rFonts w:hint="eastAsia" w:ascii="宋体" w:hAnsi="宋体" w:eastAsia="宋体" w:cs="宋体"/>
          <w:b/>
          <w:i w:val="0"/>
          <w:caps w:val="0"/>
          <w:color w:val="333333"/>
          <w:spacing w:val="0"/>
          <w:sz w:val="24"/>
          <w:szCs w:val="24"/>
          <w:shd w:val="clear" w:fill="FFFFFF"/>
          <w:lang w:eastAsia="zh-CN"/>
        </w:rPr>
        <w:t>【法律责任适用】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金融机构违反本办法的，由中国人民银行或者其地市中心支行以上分支机构按照《中华人民共和国反洗钱法》第三十一条、第三十二条的规定予以处罚。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第六章　附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333333"/>
          <w:spacing w:val="0"/>
          <w:sz w:val="24"/>
          <w:szCs w:val="24"/>
          <w:shd w:val="clear" w:fill="FFFFFF"/>
          <w:lang w:eastAsia="zh-CN"/>
        </w:rPr>
      </w:pPr>
      <w:r>
        <w:rPr>
          <w:rFonts w:hint="eastAsia" w:ascii="宋体" w:hAnsi="宋体" w:eastAsia="宋体" w:cs="宋体"/>
          <w:b/>
          <w:i w:val="0"/>
          <w:caps w:val="0"/>
          <w:color w:val="333333"/>
          <w:spacing w:val="0"/>
          <w:sz w:val="24"/>
          <w:szCs w:val="24"/>
          <w:shd w:val="clear" w:fill="FFFFFF"/>
        </w:rPr>
        <w:t>第二十五条</w:t>
      </w:r>
      <w:r>
        <w:rPr>
          <w:rFonts w:hint="eastAsia" w:ascii="宋体" w:hAnsi="宋体" w:eastAsia="宋体" w:cs="宋体"/>
          <w:b/>
          <w:i w:val="0"/>
          <w:caps w:val="0"/>
          <w:color w:val="333333"/>
          <w:spacing w:val="0"/>
          <w:sz w:val="24"/>
          <w:szCs w:val="24"/>
          <w:shd w:val="clear" w:fill="FFFFFF"/>
          <w:lang w:eastAsia="zh-CN"/>
        </w:rPr>
        <w:t>【非银行支付机构等适用】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非银行支付机构、从事汇兑业务和基金销售业务的机构报告大额交易和可疑交易适用本办法。银行卡清算机构、资金清算中心等从事清算业务的机构应当按照中国人民银行有关规定开展交易监测分析、报告工作。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本办法所称非银行支付机构，是指根据《非金融机构支付服务管理办法》（中国人民银行令〔2010〕第2号发布）规定取得《支付业务许可证》的支付机构。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本办法所称资金清算中心，包括城市商业银行资金清算中心、农信银资金清算中心有限责任公司及中国人民银行确定的其他资金清算中心。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333333"/>
          <w:spacing w:val="0"/>
          <w:sz w:val="24"/>
          <w:szCs w:val="24"/>
          <w:shd w:val="clear" w:fill="FFFFFF"/>
          <w:lang w:eastAsia="zh-CN"/>
        </w:rPr>
      </w:pPr>
      <w:r>
        <w:rPr>
          <w:rFonts w:hint="eastAsia" w:ascii="宋体" w:hAnsi="宋体" w:eastAsia="宋体" w:cs="宋体"/>
          <w:b/>
          <w:i w:val="0"/>
          <w:caps w:val="0"/>
          <w:color w:val="333333"/>
          <w:spacing w:val="0"/>
          <w:sz w:val="24"/>
          <w:szCs w:val="24"/>
          <w:shd w:val="clear" w:fill="FFFFFF"/>
        </w:rPr>
        <w:t>第二十六条</w:t>
      </w:r>
      <w:r>
        <w:rPr>
          <w:rFonts w:hint="eastAsia" w:ascii="宋体" w:hAnsi="宋体" w:eastAsia="宋体" w:cs="宋体"/>
          <w:b/>
          <w:i w:val="0"/>
          <w:caps w:val="0"/>
          <w:color w:val="333333"/>
          <w:spacing w:val="0"/>
          <w:sz w:val="24"/>
          <w:szCs w:val="24"/>
          <w:shd w:val="clear" w:fill="FFFFFF"/>
          <w:lang w:eastAsia="zh-CN"/>
        </w:rPr>
        <w:t>【非自然人的概念】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本办法所称非自然人，包括法人、其他组织和</w:t>
      </w:r>
      <w:r>
        <w:rPr>
          <w:rFonts w:hint="eastAsia" w:ascii="宋体" w:hAnsi="宋体" w:eastAsia="宋体" w:cs="宋体"/>
          <w:b/>
          <w:bCs/>
          <w:i w:val="0"/>
          <w:caps w:val="0"/>
          <w:color w:val="C55A11" w:themeColor="accent2" w:themeShade="BF"/>
          <w:spacing w:val="0"/>
          <w:sz w:val="24"/>
          <w:szCs w:val="24"/>
          <w:bdr w:val="none" w:color="auto" w:sz="0" w:space="0"/>
          <w:shd w:val="clear" w:fill="FFFFFF"/>
        </w:rPr>
        <w:t>个体工商户</w:t>
      </w:r>
      <w:r>
        <w:rPr>
          <w:rFonts w:hint="eastAsia" w:ascii="宋体" w:hAnsi="宋体" w:eastAsia="宋体" w:cs="宋体"/>
          <w:i w:val="0"/>
          <w:caps w:val="0"/>
          <w:color w:val="333333"/>
          <w:spacing w:val="0"/>
          <w:sz w:val="24"/>
          <w:szCs w:val="24"/>
          <w:bdr w:val="none" w:color="auto" w:sz="0" w:space="0"/>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333333"/>
          <w:spacing w:val="0"/>
          <w:sz w:val="24"/>
          <w:szCs w:val="24"/>
          <w:shd w:val="clear" w:fill="FFFFFF"/>
          <w:lang w:eastAsia="zh-CN"/>
        </w:rPr>
      </w:pPr>
      <w:r>
        <w:rPr>
          <w:rFonts w:hint="eastAsia" w:ascii="宋体" w:hAnsi="宋体" w:eastAsia="宋体" w:cs="宋体"/>
          <w:b/>
          <w:i w:val="0"/>
          <w:caps w:val="0"/>
          <w:color w:val="333333"/>
          <w:spacing w:val="0"/>
          <w:sz w:val="24"/>
          <w:szCs w:val="24"/>
          <w:shd w:val="clear" w:fill="FFFFFF"/>
        </w:rPr>
        <w:t>第二十七条</w:t>
      </w:r>
      <w:r>
        <w:rPr>
          <w:rFonts w:hint="eastAsia" w:ascii="宋体" w:hAnsi="宋体" w:eastAsia="宋体" w:cs="宋体"/>
          <w:b/>
          <w:i w:val="0"/>
          <w:caps w:val="0"/>
          <w:color w:val="333333"/>
          <w:spacing w:val="0"/>
          <w:sz w:val="24"/>
          <w:szCs w:val="24"/>
          <w:shd w:val="clear" w:fill="FFFFFF"/>
          <w:lang w:eastAsia="zh-CN"/>
        </w:rPr>
        <w:t>【报告要素、报告格式】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金融机构应当按照本办法所附的大额交易和可疑交易报告要素要求（要素内容见附件），制作大额交易报告和可疑交易报告的电子文件。具体的报告格式和填报要求由中国人民银行另行规定。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333333"/>
          <w:spacing w:val="0"/>
          <w:sz w:val="24"/>
          <w:szCs w:val="24"/>
          <w:shd w:val="clear" w:fill="FFFFFF"/>
          <w:lang w:eastAsia="zh-CN"/>
        </w:rPr>
      </w:pPr>
      <w:r>
        <w:rPr>
          <w:rFonts w:hint="eastAsia" w:ascii="宋体" w:hAnsi="宋体" w:eastAsia="宋体" w:cs="宋体"/>
          <w:b/>
          <w:i w:val="0"/>
          <w:caps w:val="0"/>
          <w:color w:val="333333"/>
          <w:spacing w:val="0"/>
          <w:sz w:val="24"/>
          <w:szCs w:val="24"/>
          <w:shd w:val="clear" w:fill="FFFFFF"/>
        </w:rPr>
        <w:t>第二十八条</w:t>
      </w:r>
      <w:r>
        <w:rPr>
          <w:rFonts w:hint="eastAsia" w:ascii="宋体" w:hAnsi="宋体" w:eastAsia="宋体" w:cs="宋体"/>
          <w:b/>
          <w:i w:val="0"/>
          <w:caps w:val="0"/>
          <w:color w:val="333333"/>
          <w:spacing w:val="0"/>
          <w:sz w:val="24"/>
          <w:szCs w:val="24"/>
          <w:shd w:val="clear" w:fill="FFFFFF"/>
          <w:lang w:eastAsia="zh-CN"/>
        </w:rPr>
        <w:t>【错误报告的补正】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中国反洗钱监测分析中心发现金融机构报送的大额交易报告或者可疑交易报告内容要素不全或者存在错误的，可以向提交报告的金融机构发出补正通知，金融机构应当在接到补正通知之日起5个工作日内补正。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333333"/>
          <w:spacing w:val="0"/>
          <w:sz w:val="24"/>
          <w:szCs w:val="24"/>
          <w:shd w:val="clear" w:fill="FFFFFF"/>
          <w:lang w:eastAsia="zh-CN"/>
        </w:rPr>
      </w:pPr>
      <w:r>
        <w:rPr>
          <w:rFonts w:hint="eastAsia" w:ascii="宋体" w:hAnsi="宋体" w:eastAsia="宋体" w:cs="宋体"/>
          <w:b/>
          <w:i w:val="0"/>
          <w:caps w:val="0"/>
          <w:color w:val="333333"/>
          <w:spacing w:val="0"/>
          <w:sz w:val="24"/>
          <w:szCs w:val="24"/>
          <w:shd w:val="clear" w:fill="FFFFFF"/>
        </w:rPr>
        <w:t>第二十九条</w:t>
      </w:r>
      <w:r>
        <w:rPr>
          <w:rFonts w:hint="eastAsia" w:ascii="宋体" w:hAnsi="宋体" w:eastAsia="宋体" w:cs="宋体"/>
          <w:b/>
          <w:i w:val="0"/>
          <w:caps w:val="0"/>
          <w:color w:val="333333"/>
          <w:spacing w:val="0"/>
          <w:sz w:val="24"/>
          <w:szCs w:val="24"/>
          <w:shd w:val="clear" w:fill="FFFFFF"/>
          <w:lang w:eastAsia="zh-CN"/>
        </w:rPr>
        <w:t>【解释机关】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本办法由中国人民银行负责解释。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333333"/>
          <w:spacing w:val="0"/>
          <w:sz w:val="24"/>
          <w:szCs w:val="24"/>
          <w:shd w:val="clear" w:fill="FFFFFF"/>
          <w:lang w:eastAsia="zh-CN"/>
        </w:rPr>
      </w:pPr>
      <w:bookmarkStart w:id="0" w:name="_GoBack"/>
      <w:r>
        <w:rPr>
          <w:rFonts w:hint="eastAsia" w:ascii="宋体" w:hAnsi="宋体" w:eastAsia="宋体" w:cs="宋体"/>
          <w:b/>
          <w:i w:val="0"/>
          <w:caps w:val="0"/>
          <w:color w:val="333333"/>
          <w:spacing w:val="0"/>
          <w:sz w:val="24"/>
          <w:szCs w:val="24"/>
          <w:shd w:val="clear" w:fill="FFFFFF"/>
        </w:rPr>
        <w:t>第三十条</w:t>
      </w:r>
      <w:r>
        <w:rPr>
          <w:rFonts w:hint="eastAsia" w:ascii="宋体" w:hAnsi="宋体" w:eastAsia="宋体" w:cs="宋体"/>
          <w:b/>
          <w:i w:val="0"/>
          <w:caps w:val="0"/>
          <w:color w:val="333333"/>
          <w:spacing w:val="0"/>
          <w:sz w:val="24"/>
          <w:szCs w:val="24"/>
          <w:shd w:val="clear" w:fill="FFFFFF"/>
          <w:lang w:eastAsia="zh-CN"/>
        </w:rPr>
        <w:t>【施行日期】</w:t>
      </w:r>
    </w:p>
    <w:bookmarkEnd w:id="0"/>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本办法自2017年7月1日起施行。中国人民银行2006年11月14日发布的《金融机构大额交易和可疑交易报告管理办法》（中国人民银行令〔2006〕第2号）和2007年6月11日发布的《金融机构报告涉嫌恐怖融资的可疑交易管理办法》（中国人民银行令〔2007〕第1号）同时废止。中国人民银行此前发布的大额交易和可疑交易报告的其他规定，与本办法不一致的，以本办法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附：金融机构大额交易和可疑交易报告要素内容（略，详情请登录人民银行网站）</w:t>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F21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2022-02-19T13:53:03Z</dcterms:created>
  <dc:creator>fzr</dc:creator>
  <cp:lastModifiedBy>默默</cp:lastModifiedBy>
  <dcterms:modified xsi:type="dcterms:W3CDTF">2022-02-19T14:37:04Z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