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关于支持新型离岸国际贸易发展有关问题的通知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"http://ssfb86.com/index/News/detail/newsid/10142.html"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rPr>
        <w:t>银发〔2021〕329号</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中国人民银行上海总部，各分行、营业管理部，各省会（首府）城市中心支行，各副省级城市中心支行;国家外汇管理局各省、自治区、直辖市分局、外汇管理部，深圳、大连、青岛、厦门、宁波市分局;国家开发银行，各政策性银行、国有商业银行，中国邮政储蓄银行，各股份制商业银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为进一步提升贸易自由化便利化水平，促进外贸新业态新模式健康持续创新发展，根据《中华人民共和国中国人民银行法》《中华人民共和国外汇管理条例》等规定，现就有关事项通知如下：</w:t>
      </w: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【新型离岸国际贸易的定义、资金结算便利】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鼓励银行优化金融服务，为诚信守法企业开展真实、合规的新型离岸国际贸易提供跨境资金结算便利。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本通知所称</w:t>
      </w:r>
      <w:r>
        <w:rPr>
          <w:rFonts w:hint="eastAsia" w:ascii="宋体" w:hAnsi="宋体" w:eastAsia="宋体" w:cs="宋体"/>
          <w:color w:val="C55A11" w:themeColor="accent2" w:themeShade="BF"/>
          <w:sz w:val="24"/>
          <w:szCs w:val="24"/>
        </w:rPr>
        <w:t>新型离岸国际贸易是指</w:t>
      </w:r>
      <w:r>
        <w:rPr>
          <w:rFonts w:hint="eastAsia" w:ascii="宋体" w:hAnsi="宋体" w:eastAsia="宋体" w:cs="宋体"/>
          <w:b/>
          <w:bCs/>
          <w:color w:val="C55A11" w:themeColor="accent2" w:themeShade="BF"/>
          <w:sz w:val="24"/>
          <w:szCs w:val="24"/>
        </w:rPr>
        <w:t>我国居民与非居民之间发生的，交易所涉货物不进出我国一线关境或不纳入我国海关统计的贸易</w:t>
      </w:r>
      <w:r>
        <w:rPr>
          <w:rFonts w:hint="eastAsia" w:ascii="宋体" w:hAnsi="宋体" w:eastAsia="宋体" w:cs="宋体"/>
          <w:color w:val="C55A11" w:themeColor="accent2" w:themeShade="BF"/>
          <w:sz w:val="24"/>
          <w:szCs w:val="24"/>
        </w:rPr>
        <w:t>，包括但不限于离岸转手买卖、全球采购、委托境外加工、承包工程境外购买货物等</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ascii="宋体" w:hAnsi="宋体" w:eastAsia="宋体" w:cs="宋体"/>
          <w:sz w:val="24"/>
          <w:szCs w:val="24"/>
        </w:rPr>
        <w:t>二、</w:t>
      </w:r>
      <w:r>
        <w:rPr>
          <w:rFonts w:hint="eastAsia"/>
          <w:sz w:val="24"/>
          <w:szCs w:val="24"/>
          <w:lang w:eastAsia="zh-CN"/>
        </w:rPr>
        <w:t>【健全内控，识别客户身份、业务模式，风险评级，穿透式审查，支持重点】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银行应根据新型离岸国际贸易的特点制定业务规范，完善内部管理，实施客户分类，提升服务水平：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（一）健全新型离岸国际贸易内控制度，包括加强客户尽职调查、优化业务审核、实施事后监测管理和完善内部监督等。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（二）精准识别新型离岸国际贸易客户身份和业务模式，根据客户诚信状况、合规水平和风控能力等，动态实施内部客户风险分级评定，</w:t>
      </w:r>
      <w:r>
        <w:rPr>
          <w:rFonts w:hint="eastAsia" w:ascii="宋体" w:hAnsi="宋体" w:eastAsia="宋体" w:cs="宋体"/>
          <w:color w:val="C55A11" w:themeColor="accent2" w:themeShade="BF"/>
          <w:sz w:val="24"/>
          <w:szCs w:val="24"/>
        </w:rPr>
        <w:t>对客户主体、业务性质和关联交易进行穿透式审查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color w:val="C55A11" w:themeColor="accent2" w:themeShade="BF"/>
          <w:sz w:val="24"/>
          <w:szCs w:val="24"/>
        </w:rPr>
        <w:t>重点支持基于实体经济创新发展和制造业转型升级、提升产业链供应链完整性和现代化水平而开展的新型离岸国际贸易</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三、</w:t>
      </w:r>
      <w:r>
        <w:rPr>
          <w:rFonts w:hint="eastAsia" w:ascii="宋体" w:hAnsi="宋体" w:eastAsia="宋体" w:cs="宋体"/>
          <w:b/>
          <w:sz w:val="24"/>
          <w:szCs w:val="24"/>
          <w:lang w:eastAsia="zh-CN"/>
        </w:rPr>
        <w:t>【总体要求、展业三原则】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银行办理新型离岸国际贸易跨境资金结算业务时，应按照“</w:t>
      </w:r>
      <w:r>
        <w:rPr>
          <w:rFonts w:hint="eastAsia" w:ascii="宋体" w:hAnsi="宋体" w:eastAsia="宋体" w:cs="宋体"/>
          <w:color w:val="C55A11" w:themeColor="accent2" w:themeShade="BF"/>
          <w:sz w:val="24"/>
          <w:szCs w:val="24"/>
        </w:rPr>
        <w:t>实质重于形式</w:t>
      </w:r>
      <w:r>
        <w:rPr>
          <w:rFonts w:hint="eastAsia" w:ascii="宋体" w:hAnsi="宋体" w:eastAsia="宋体" w:cs="宋体"/>
          <w:sz w:val="24"/>
          <w:szCs w:val="24"/>
        </w:rPr>
        <w:t>”的要求，根据“</w:t>
      </w:r>
      <w:r>
        <w:rPr>
          <w:rFonts w:hint="eastAsia" w:ascii="宋体" w:hAnsi="宋体" w:eastAsia="宋体" w:cs="宋体"/>
          <w:color w:val="C55A11" w:themeColor="accent2" w:themeShade="BF"/>
          <w:sz w:val="24"/>
          <w:szCs w:val="24"/>
        </w:rPr>
        <w:t>了解客户”“了解业务”“尽职审查”的展业原则</w:t>
      </w:r>
      <w:r>
        <w:rPr>
          <w:rFonts w:hint="eastAsia" w:ascii="宋体" w:hAnsi="宋体" w:eastAsia="宋体" w:cs="宋体"/>
          <w:sz w:val="24"/>
          <w:szCs w:val="24"/>
        </w:rPr>
        <w:t>，按下列规定自主决定</w:t>
      </w:r>
      <w:r>
        <w:rPr>
          <w:rFonts w:hint="eastAsia" w:ascii="宋体" w:hAnsi="宋体" w:eastAsia="宋体" w:cs="宋体"/>
          <w:color w:val="C55A11" w:themeColor="accent2" w:themeShade="BF"/>
          <w:sz w:val="24"/>
          <w:szCs w:val="24"/>
        </w:rPr>
        <w:t>审核交易单证的种类</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（一）</w:t>
      </w:r>
      <w:r>
        <w:rPr>
          <w:rFonts w:hint="eastAsia" w:ascii="宋体" w:hAnsi="宋体" w:eastAsia="宋体" w:cs="宋体"/>
          <w:color w:val="C55A11" w:themeColor="accent2" w:themeShade="BF"/>
          <w:sz w:val="24"/>
          <w:szCs w:val="24"/>
        </w:rPr>
        <w:t>交易真实、合法且具有商业合理性和逻辑性</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（二）经合理审查</w:t>
      </w:r>
      <w:r>
        <w:rPr>
          <w:rFonts w:hint="eastAsia" w:ascii="宋体" w:hAnsi="宋体" w:eastAsia="宋体" w:cs="宋体"/>
          <w:color w:val="C55A11" w:themeColor="accent2" w:themeShade="BF"/>
          <w:sz w:val="24"/>
          <w:szCs w:val="24"/>
        </w:rPr>
        <w:t>未发现存在涉嫌利用虚假或构造新型离岸国际贸易进行投机套利、违规转移资金或骗取银行融资等异常</w:t>
      </w:r>
      <w:r>
        <w:rPr>
          <w:rFonts w:hint="eastAsia" w:ascii="宋体" w:hAnsi="宋体" w:eastAsia="宋体" w:cs="宋体"/>
          <w:sz w:val="24"/>
          <w:szCs w:val="24"/>
        </w:rPr>
        <w:t>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四、</w:t>
      </w:r>
      <w:r>
        <w:rPr>
          <w:rFonts w:hint="eastAsia" w:ascii="宋体" w:hAnsi="宋体" w:eastAsia="宋体" w:cs="宋体"/>
          <w:b/>
          <w:sz w:val="24"/>
          <w:szCs w:val="24"/>
          <w:lang w:eastAsia="zh-CN"/>
        </w:rPr>
        <w:t>【统计申报、数据报送、资料留存备查期限】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应根据《国际收支统计申报办法》《人民币跨境收付信息管理系统管理办法》（银发〔2017〕126号文印发）、《中国人民银行办公厅关于优化人民币跨境收付信息管理系统信息报送流程的通知》（银办发〔2013〕188号）等相关规定，及时、完整、准确地进行国际收支统计申报和人民币跨境收付信息管理系统（RCPMIS）数据报送。对于国际收支统计申报和人民币跨境收付信息管理系统数据</w:t>
      </w:r>
      <w:r>
        <w:rPr>
          <w:rFonts w:hint="eastAsia" w:ascii="宋体" w:hAnsi="宋体" w:eastAsia="宋体" w:cs="宋体"/>
          <w:color w:val="C55A11" w:themeColor="accent2" w:themeShade="BF"/>
          <w:sz w:val="24"/>
          <w:szCs w:val="24"/>
        </w:rPr>
        <w:t>报送在服务贸易项下的新型离岸国际贸易，应在交易附言中注明“新型离岸</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银行应留存相关交易单证、客户尽职调查、事后监测管理等</w:t>
      </w:r>
      <w:r>
        <w:rPr>
          <w:rFonts w:hint="eastAsia" w:ascii="宋体" w:hAnsi="宋体" w:eastAsia="宋体" w:cs="宋体"/>
          <w:color w:val="C55A11" w:themeColor="accent2" w:themeShade="BF"/>
          <w:sz w:val="24"/>
          <w:szCs w:val="24"/>
        </w:rPr>
        <w:t>资料5年备查。企业应留存相关交易单证5年备查</w:t>
      </w:r>
      <w:r>
        <w:rPr>
          <w:rFonts w:hint="eastAsia" w:ascii="宋体" w:hAnsi="宋体" w:eastAsia="宋体" w:cs="宋体"/>
          <w:sz w:val="24"/>
          <w:szCs w:val="24"/>
        </w:rPr>
        <w:t>。</w:t>
      </w: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五、</w:t>
      </w:r>
      <w:r>
        <w:rPr>
          <w:rFonts w:hint="eastAsia" w:ascii="宋体" w:hAnsi="宋体" w:eastAsia="宋体" w:cs="宋体"/>
          <w:b/>
          <w:sz w:val="24"/>
          <w:szCs w:val="24"/>
          <w:lang w:eastAsia="zh-CN"/>
        </w:rPr>
        <w:t>【同一笔业务、同行、同币种办理，例外处理及报告】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同一笔离岸转手买卖业务原则上应在同一家银行，采用同一币种（外币或人民币）办理收支结算。对无法按此规定办理的离岸转手买卖业务，银行在确认其真实、合法后可直接办理，并在涉外收支申报及人民币跨境收付信息管理系统数据报送交易附言中注明“特殊离岸转手”，自业务办理之日起5个工作日内向所在地外汇局分支机构报告。</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六、</w:t>
      </w:r>
      <w:r>
        <w:rPr>
          <w:rFonts w:hint="eastAsia" w:ascii="宋体" w:hAnsi="宋体" w:eastAsia="宋体" w:cs="宋体"/>
          <w:b/>
          <w:sz w:val="24"/>
          <w:szCs w:val="24"/>
          <w:lang w:eastAsia="zh-CN"/>
        </w:rPr>
        <w:t>【贸易背景审核、异常行为报告，</w:t>
      </w:r>
      <w:r>
        <w:rPr>
          <w:rFonts w:hint="eastAsia" w:ascii="宋体" w:hAnsi="宋体" w:eastAsia="宋体" w:cs="宋体"/>
          <w:b/>
          <w:sz w:val="24"/>
          <w:szCs w:val="24"/>
          <w:lang w:val="en-US" w:eastAsia="zh-CN"/>
        </w:rPr>
        <w:t>B、C类企业管理</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银行应从源头做好风险防范，加强贸易背景审核。在业务办理、监测管理以及内部监督过程中，发现企业涉嫌虚假或构造交易、骗取融资等异常行为的，应及时向所在地人民银行分支机构和外汇局分支机构报告，并按照银行内控制度要求，调整企业的客户风险分级，</w:t>
      </w:r>
      <w:r>
        <w:rPr>
          <w:rFonts w:hint="eastAsia" w:ascii="宋体" w:hAnsi="宋体" w:eastAsia="宋体" w:cs="宋体"/>
          <w:color w:val="C55A11" w:themeColor="accent2" w:themeShade="BF"/>
          <w:sz w:val="24"/>
          <w:szCs w:val="24"/>
        </w:rPr>
        <w:t>严格审核企业后续跨境资金结算业务。货物贸易外汇管理分类等级为B、C类的企业新型离岸国际贸易跨境资金结算业务按外汇局有关规定办理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w:t>
      </w:r>
      <w:r>
        <w:rPr>
          <w:rFonts w:hint="eastAsia" w:ascii="宋体" w:hAnsi="宋体" w:eastAsia="宋体" w:cs="宋体"/>
          <w:b/>
          <w:sz w:val="24"/>
          <w:szCs w:val="24"/>
          <w:lang w:eastAsia="zh-CN"/>
        </w:rPr>
        <w:t>【内控完备的跨国公司的业务办理】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内控制度完备、具有离岸转手买卖业务实际需求的跨国公司可按照《跨国公司跨境资金集中运营管理规定》（汇发〔2019〕7号文印发）规定的条件和程序申请开展含离岸转手买卖业务的经常项目资金集中收付和轧差净额结算业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lang w:eastAsia="zh-CN"/>
        </w:rPr>
      </w:pPr>
      <w:r>
        <w:rPr>
          <w:rFonts w:hint="eastAsia" w:ascii="宋体" w:hAnsi="宋体" w:eastAsia="宋体" w:cs="宋体"/>
          <w:b/>
          <w:sz w:val="24"/>
          <w:szCs w:val="24"/>
        </w:rPr>
        <w:t>八、</w:t>
      </w:r>
      <w:r>
        <w:rPr>
          <w:rFonts w:hint="eastAsia" w:ascii="宋体" w:hAnsi="宋体" w:eastAsia="宋体" w:cs="宋体"/>
          <w:b/>
          <w:sz w:val="24"/>
          <w:szCs w:val="24"/>
          <w:lang w:eastAsia="zh-CN"/>
        </w:rPr>
        <w:t>【监督管理、行政执罚】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人民银行、外汇局依法对新型离岸国际贸易跨境资金结算开展监督管理。对于违反本通知及相关跨境资金结算管理规定的，依据《中华人民共和国外汇管理条例》第三十九条至第四十九条等相关规定予以处罚。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p>
    <w:p>
      <w:pPr>
        <w:pStyle w:val="2"/>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九、</w:t>
      </w:r>
      <w:r>
        <w:rPr>
          <w:rFonts w:hint="eastAsia" w:ascii="宋体" w:hAnsi="宋体" w:eastAsia="宋体" w:cs="宋体"/>
          <w:b/>
          <w:sz w:val="24"/>
          <w:szCs w:val="24"/>
          <w:lang w:eastAsia="zh-CN"/>
        </w:rPr>
        <w:t>【信息共享、实施日期】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人民银行</w:t>
      </w:r>
      <w:bookmarkStart w:id="0" w:name="_GoBack"/>
      <w:bookmarkEnd w:id="0"/>
      <w:r>
        <w:rPr>
          <w:rFonts w:hint="eastAsia" w:ascii="宋体" w:hAnsi="宋体" w:eastAsia="宋体" w:cs="宋体"/>
          <w:sz w:val="24"/>
          <w:szCs w:val="24"/>
        </w:rPr>
        <w:t>分支机构和外汇局分支机构应加强与其他部门信息共享，按照“鼓励创新、包容审慎”的原则，密切跟踪新型离岸国际贸易的创新发展，主动回应市场诉求，指导银行持续提升贸易投资便利化水平。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sz w:val="24"/>
          <w:szCs w:val="24"/>
        </w:rPr>
      </w:pPr>
      <w:r>
        <w:rPr>
          <w:rFonts w:hint="eastAsia" w:ascii="宋体" w:hAnsi="宋体" w:eastAsia="宋体" w:cs="宋体"/>
          <w:sz w:val="24"/>
          <w:szCs w:val="24"/>
        </w:rPr>
        <w:t>本通知自2022年1月24日起实施。《跨国公司跨境资金集中运营管理规定》第二十四条等规定与本通知内容不一致的，以本通知为准。执行中如遇问题，请及时向人民银行、外汇局反馈。</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中国人民银行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外 汇 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2021年12月23日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8E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2022-02-19T23:31:08Z</dcterms:created>
  <dc:creator>fzr</dc:creator>
  <cp:lastModifiedBy>默默</cp:lastModifiedBy>
  <dcterms:modified xsi:type="dcterms:W3CDTF">2022-02-19T23:56:33Z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