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right="0" w:firstLine="0"/>
        <w:jc w:val="both"/>
        <w:textAlignment w:val="auto"/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C55A11" w:themeColor="accent2" w:themeShade="BF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C55A11" w:themeColor="accent2" w:themeShade="BF"/>
          <w:sz w:val="44"/>
          <w:szCs w:val="44"/>
        </w:rPr>
        <w:t>关于发布出口退税率文库2022A版的通知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"http://ssfb86.com/index/News/detail/newsid/10153.html"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5"/>
          <w:rFonts w:hint="eastAsia" w:ascii="宋体" w:hAnsi="宋体" w:eastAsia="宋体" w:cs="宋体"/>
          <w:sz w:val="24"/>
          <w:szCs w:val="24"/>
        </w:rPr>
        <w:t>税总货劳函〔2022〕20号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国家税务总局各省、自治区、直辖市和计划单列市税务局，国家税务总局驻各地特派员办事处：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2022年，</w:t>
      </w:r>
      <w:r>
        <w:rPr>
          <w:rFonts w:hint="eastAsia" w:ascii="宋体" w:hAnsi="宋体" w:eastAsia="宋体" w:cs="宋体"/>
          <w:i w:val="0"/>
          <w:caps w:val="0"/>
          <w:color w:val="C55A11" w:themeColor="accent2" w:themeShade="BF"/>
          <w:spacing w:val="0"/>
          <w:sz w:val="24"/>
          <w:szCs w:val="24"/>
          <w:bdr w:val="none" w:color="auto" w:sz="0" w:space="0"/>
          <w:shd w:val="clear" w:fill="FFFFFF"/>
        </w:rPr>
        <w:t>我国进出口税则税目根据世界海关组织《商品名称及编码协调制度》进行了同步转版，结合进出口税则及海关商品编码等调整情况，国家税务总局编制了2022A版出口退税率文库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（以下简称文库）。现将有关事项通知如下：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一、文库放置在国家税务总局可控FTP系统（100.16.92.60）“程序发布”目录下，请各地及时下载，对出口退税审核系统进行文库升级，并将文库及时发放给出口企业。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二、各地要严格执行出口退税率，</w:t>
      </w:r>
      <w:r>
        <w:rPr>
          <w:rFonts w:hint="eastAsia" w:ascii="宋体" w:hAnsi="宋体" w:eastAsia="宋体" w:cs="宋体"/>
          <w:i w:val="0"/>
          <w:caps w:val="0"/>
          <w:color w:val="C55A11" w:themeColor="accent2" w:themeShade="BF"/>
          <w:spacing w:val="0"/>
          <w:sz w:val="24"/>
          <w:szCs w:val="24"/>
          <w:bdr w:val="none" w:color="auto" w:sz="0" w:space="0"/>
          <w:shd w:val="clear" w:fill="FFFFFF"/>
        </w:rPr>
        <w:t>严禁擅自改变出口退税率，一经发现，严肃追究相关人员责任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三、对执行中发现的问题，请及时报告国家税务总局（货物和劳务税司）。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right="0" w:firstLine="42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国家税务总局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right="0" w:firstLine="42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2022年2月21日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C4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2022-02-23T12:29:33Z</dcterms:created>
  <dc:creator>fzr</dc:creator>
  <cp:lastModifiedBy>默默</cp:lastModifiedBy>
  <dcterms:modified xsi:type="dcterms:W3CDTF">2022-02-23T12:36:21Z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