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val="0"/>
          <w:color w:val="C55A11" w:themeColor="accent2" w:themeShade="BF"/>
          <w:sz w:val="44"/>
          <w:szCs w:val="44"/>
        </w:rPr>
      </w:pPr>
      <w:r>
        <w:rPr>
          <w:rFonts w:hint="eastAsia" w:ascii="宋体" w:hAnsi="宋体" w:eastAsia="宋体" w:cs="宋体"/>
          <w:b/>
          <w:bCs w:val="0"/>
          <w:i w:val="0"/>
          <w:caps w:val="0"/>
          <w:color w:val="C55A11" w:themeColor="accent2" w:themeShade="BF"/>
          <w:spacing w:val="0"/>
          <w:sz w:val="44"/>
          <w:szCs w:val="44"/>
          <w:shd w:val="clear" w:fill="FFFFFF"/>
        </w:rPr>
        <w:t>关于进一步实施小微企业“六税两费”减免政策的公告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"http://ssfb86.com/index/News/detail/newsid/10186.html" </w:instrText>
      </w:r>
      <w:r>
        <w:rPr>
          <w:rFonts w:hint="eastAsia" w:ascii="宋体" w:hAnsi="宋体" w:eastAsia="宋体" w:cs="宋体"/>
          <w:i w:val="0"/>
          <w:caps w:val="0"/>
          <w:color w:val="333333"/>
          <w:spacing w:val="0"/>
          <w:sz w:val="24"/>
          <w:szCs w:val="24"/>
          <w:shd w:val="clear" w:fill="FFFFFF"/>
        </w:rPr>
        <w:fldChar w:fldCharType="separate"/>
      </w:r>
      <w:r>
        <w:rPr>
          <w:rStyle w:val="6"/>
          <w:rFonts w:hint="eastAsia" w:ascii="宋体" w:hAnsi="宋体" w:eastAsia="宋体" w:cs="宋体"/>
          <w:i w:val="0"/>
          <w:caps w:val="0"/>
          <w:color w:val="333333"/>
          <w:spacing w:val="0"/>
          <w:sz w:val="24"/>
          <w:szCs w:val="24"/>
          <w:shd w:val="clear" w:fill="FFFFFF"/>
        </w:rPr>
        <w:t>财政部 税务总局公告2022年第10号</w:t>
      </w:r>
      <w:r>
        <w:rPr>
          <w:rFonts w:hint="eastAsia" w:ascii="宋体" w:hAnsi="宋体" w:eastAsia="宋体" w:cs="宋体"/>
          <w:i w:val="0"/>
          <w:caps w:val="0"/>
          <w:color w:val="333333"/>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DF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为进一步支持小微企业发展，现将有关税费政策公告如下：</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【政策内容】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由省、自治区、直辖市人民政府根据本地区实际情况，以及宏观调控需要确定，对增值税</w:t>
      </w:r>
      <w:r>
        <w:rPr>
          <w:rFonts w:hint="eastAsia" w:ascii="宋体" w:hAnsi="宋体" w:eastAsia="宋体" w:cs="宋体"/>
          <w:i w:val="0"/>
          <w:caps w:val="0"/>
          <w:color w:val="C55A11" w:themeColor="accent2" w:themeShade="BF"/>
          <w:spacing w:val="0"/>
          <w:sz w:val="24"/>
          <w:szCs w:val="24"/>
          <w:shd w:val="clear" w:fill="FFFFFF"/>
        </w:rPr>
        <w:t>小规模纳税人、小型微利企业和</w:t>
      </w:r>
      <w:r>
        <w:rPr>
          <w:rFonts w:hint="eastAsia" w:ascii="宋体" w:hAnsi="宋体" w:eastAsia="宋体" w:cs="宋体"/>
          <w:b/>
          <w:bCs/>
          <w:i w:val="0"/>
          <w:caps w:val="0"/>
          <w:color w:val="C55A11" w:themeColor="accent2" w:themeShade="BF"/>
          <w:spacing w:val="0"/>
          <w:sz w:val="24"/>
          <w:szCs w:val="24"/>
          <w:shd w:val="clear" w:fill="FFFFFF"/>
        </w:rPr>
        <w:t>个体工商户</w:t>
      </w:r>
      <w:r>
        <w:rPr>
          <w:rFonts w:hint="eastAsia" w:ascii="宋体" w:hAnsi="宋体" w:eastAsia="宋体" w:cs="宋体"/>
          <w:i w:val="0"/>
          <w:caps w:val="0"/>
          <w:color w:val="333333"/>
          <w:spacing w:val="0"/>
          <w:sz w:val="24"/>
          <w:szCs w:val="24"/>
          <w:shd w:val="clear" w:fill="FFFFFF"/>
        </w:rPr>
        <w:t>可以在</w:t>
      </w:r>
      <w:r>
        <w:rPr>
          <w:rFonts w:hint="eastAsia" w:ascii="宋体" w:hAnsi="宋体" w:eastAsia="宋体" w:cs="宋体"/>
          <w:i w:val="0"/>
          <w:caps w:val="0"/>
          <w:color w:val="C55A11" w:themeColor="accent2" w:themeShade="BF"/>
          <w:spacing w:val="0"/>
          <w:sz w:val="24"/>
          <w:szCs w:val="24"/>
          <w:shd w:val="clear" w:fill="FFFFFF"/>
        </w:rPr>
        <w:t>50%的税额幅度</w:t>
      </w:r>
      <w:r>
        <w:rPr>
          <w:rFonts w:hint="eastAsia" w:ascii="宋体" w:hAnsi="宋体" w:eastAsia="宋体" w:cs="宋体"/>
          <w:i w:val="0"/>
          <w:caps w:val="0"/>
          <w:color w:val="333333"/>
          <w:spacing w:val="0"/>
          <w:sz w:val="24"/>
          <w:szCs w:val="24"/>
          <w:shd w:val="clear" w:fill="FFFFFF"/>
        </w:rPr>
        <w:t>内减征资源税、城市维护建设税、房产税、城镇土地使用税、印花税（</w:t>
      </w:r>
      <w:r>
        <w:rPr>
          <w:rFonts w:hint="eastAsia" w:ascii="宋体" w:hAnsi="宋体" w:eastAsia="宋体" w:cs="宋体"/>
          <w:i w:val="0"/>
          <w:caps w:val="0"/>
          <w:color w:val="C55A11" w:themeColor="accent2" w:themeShade="BF"/>
          <w:spacing w:val="0"/>
          <w:sz w:val="24"/>
          <w:szCs w:val="24"/>
          <w:shd w:val="clear" w:fill="FFFFFF"/>
        </w:rPr>
        <w:t>不含证券交易印花税</w:t>
      </w:r>
      <w:r>
        <w:rPr>
          <w:rFonts w:hint="eastAsia" w:ascii="宋体" w:hAnsi="宋体" w:eastAsia="宋体" w:cs="宋体"/>
          <w:i w:val="0"/>
          <w:caps w:val="0"/>
          <w:color w:val="333333"/>
          <w:spacing w:val="0"/>
          <w:sz w:val="24"/>
          <w:szCs w:val="24"/>
          <w:shd w:val="clear" w:fill="FFFFFF"/>
        </w:rPr>
        <w:t>）、耕地占用税和教育费附加、地方教育附加。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【提示：不包括增值税、消费税、企业所得税、个人所得税、土地增值税、契税、车辆购置税、车船税、环保税、烟叶税等】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【提示：根据总局解读第九条第一项的有关规定，优惠主体分为：（</w:t>
      </w: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“增值税小规模纳税人”；（</w:t>
      </w:r>
      <w:r>
        <w:rPr>
          <w:rFonts w:hint="eastAsia" w:ascii="楷体" w:hAnsi="楷体" w:eastAsia="楷体" w:cs="楷体"/>
          <w:color w:val="0070C0"/>
          <w:sz w:val="24"/>
          <w:szCs w:val="24"/>
          <w:lang w:val="en-US" w:eastAsia="zh-CN"/>
        </w:rPr>
        <w:t>2）</w:t>
      </w:r>
      <w:r>
        <w:rPr>
          <w:rFonts w:hint="eastAsia" w:ascii="楷体" w:hAnsi="楷体" w:eastAsia="楷体" w:cs="楷体"/>
          <w:color w:val="0070C0"/>
          <w:sz w:val="24"/>
          <w:szCs w:val="24"/>
          <w:lang w:eastAsia="zh-CN"/>
        </w:rPr>
        <w:t>“一般纳税人-小型微利企业”；（</w:t>
      </w:r>
      <w:r>
        <w:rPr>
          <w:rFonts w:hint="eastAsia" w:ascii="楷体" w:hAnsi="楷体" w:eastAsia="楷体" w:cs="楷体"/>
          <w:color w:val="0070C0"/>
          <w:sz w:val="24"/>
          <w:szCs w:val="24"/>
          <w:lang w:val="en-US" w:eastAsia="zh-CN"/>
        </w:rPr>
        <w:t>3）</w:t>
      </w:r>
      <w:r>
        <w:rPr>
          <w:rFonts w:hint="eastAsia" w:ascii="楷体" w:hAnsi="楷体" w:eastAsia="楷体" w:cs="楷体"/>
          <w:color w:val="0070C0"/>
          <w:sz w:val="24"/>
          <w:szCs w:val="24"/>
          <w:lang w:eastAsia="zh-CN"/>
        </w:rPr>
        <w:t>“一般纳税人-个体工商户”，供勾选。】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【提示：上述主体，可按以下理解：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一、小规模纳税人——直接享受；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二、一般纳税人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（一）个体工商户——直接享受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（二）非个体——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1、个独、合伙等非法人企业——不享受</w:t>
      </w:r>
      <w:r>
        <w:rPr>
          <w:rFonts w:hint="eastAsia" w:ascii="楷体" w:hAnsi="楷体" w:eastAsia="楷体" w:cs="楷体"/>
          <w:b/>
          <w:bCs/>
          <w:color w:val="0070C0"/>
          <w:sz w:val="24"/>
          <w:szCs w:val="24"/>
          <w:lang w:val="en-US" w:eastAsia="zh-CN"/>
        </w:rPr>
        <w:t>（注：政策的漏点）</w:t>
      </w:r>
      <w:bookmarkStart w:id="0" w:name="_GoBack"/>
      <w:bookmarkEnd w:id="0"/>
      <w:r>
        <w:rPr>
          <w:rFonts w:hint="eastAsia" w:ascii="楷体" w:hAnsi="楷体" w:eastAsia="楷体" w:cs="楷体"/>
          <w:color w:val="0070C0"/>
          <w:sz w:val="24"/>
          <w:szCs w:val="24"/>
          <w:lang w:val="en-US" w:eastAsia="zh-CN"/>
        </w:rPr>
        <w:t>——依据：</w:t>
      </w:r>
      <w:r>
        <w:rPr>
          <w:rFonts w:hint="eastAsia" w:ascii="楷体" w:hAnsi="楷体" w:eastAsia="楷体" w:cs="楷体"/>
          <w:i w:val="0"/>
          <w:caps w:val="0"/>
          <w:color w:val="0070C0"/>
          <w:spacing w:val="0"/>
          <w:sz w:val="24"/>
          <w:szCs w:val="24"/>
          <w:shd w:val="clear" w:fill="FFFFFF"/>
        </w:rPr>
        <w:fldChar w:fldCharType="begin"/>
      </w:r>
      <w:r>
        <w:rPr>
          <w:rFonts w:hint="eastAsia" w:ascii="楷体" w:hAnsi="楷体" w:eastAsia="楷体" w:cs="楷体"/>
          <w:i w:val="0"/>
          <w:caps w:val="0"/>
          <w:color w:val="0070C0"/>
          <w:spacing w:val="0"/>
          <w:sz w:val="24"/>
          <w:szCs w:val="24"/>
          <w:shd w:val="clear" w:fill="FFFFFF"/>
        </w:rPr>
        <w:instrText xml:space="preserve"> HYPERLINK "http://ssfb86.com/index/News/detail/newsid/10186.html" </w:instrText>
      </w:r>
      <w:r>
        <w:rPr>
          <w:rFonts w:hint="eastAsia" w:ascii="楷体" w:hAnsi="楷体" w:eastAsia="楷体" w:cs="楷体"/>
          <w:i w:val="0"/>
          <w:caps w:val="0"/>
          <w:color w:val="0070C0"/>
          <w:spacing w:val="0"/>
          <w:sz w:val="24"/>
          <w:szCs w:val="24"/>
          <w:shd w:val="clear" w:fill="FFFFFF"/>
        </w:rPr>
        <w:fldChar w:fldCharType="separate"/>
      </w:r>
      <w:r>
        <w:rPr>
          <w:rStyle w:val="6"/>
          <w:rFonts w:hint="eastAsia" w:ascii="楷体" w:hAnsi="楷体" w:eastAsia="楷体" w:cs="楷体"/>
          <w:i w:val="0"/>
          <w:caps w:val="0"/>
          <w:color w:val="0070C0"/>
          <w:spacing w:val="0"/>
          <w:sz w:val="24"/>
          <w:szCs w:val="24"/>
          <w:shd w:val="clear" w:fill="FFFFFF"/>
        </w:rPr>
        <w:t>财政部 税务总局公告2022年第10号</w:t>
      </w:r>
      <w:r>
        <w:rPr>
          <w:rFonts w:hint="eastAsia" w:ascii="楷体" w:hAnsi="楷体" w:eastAsia="楷体" w:cs="楷体"/>
          <w:i w:val="0"/>
          <w:caps w:val="0"/>
          <w:color w:val="0070C0"/>
          <w:spacing w:val="0"/>
          <w:sz w:val="24"/>
          <w:szCs w:val="24"/>
          <w:shd w:val="clear" w:fill="FFFFFF"/>
        </w:rPr>
        <w:fldChar w:fldCharType="end"/>
      </w:r>
      <w:r>
        <w:rPr>
          <w:rFonts w:hint="eastAsia" w:ascii="楷体" w:hAnsi="楷体" w:eastAsia="楷体" w:cs="楷体"/>
          <w:color w:val="0070C0"/>
          <w:sz w:val="24"/>
          <w:szCs w:val="24"/>
          <w:lang w:val="en-US" w:eastAsia="zh-CN"/>
        </w:rPr>
        <w:t>第三条第四款规定，</w:t>
      </w:r>
      <w:r>
        <w:rPr>
          <w:rFonts w:hint="eastAsia" w:ascii="楷体" w:hAnsi="楷体" w:eastAsia="楷体" w:cs="楷体"/>
          <w:b/>
          <w:bCs/>
          <w:color w:val="0070C0"/>
          <w:sz w:val="24"/>
          <w:szCs w:val="24"/>
          <w:lang w:val="en-US" w:eastAsia="zh-CN"/>
        </w:rPr>
        <w:t>小微的判定以企业所得税年度汇算清缴结果为准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val="en-US" w:eastAsia="zh-CN"/>
        </w:rPr>
        <w:t>2、法人——对照小微标准，享受</w:t>
      </w:r>
      <w:r>
        <w:rPr>
          <w:rFonts w:hint="eastAsia" w:ascii="楷体" w:hAnsi="楷体" w:eastAsia="楷体" w:cs="楷体"/>
          <w:color w:val="0070C0"/>
          <w:sz w:val="24"/>
          <w:szCs w:val="24"/>
          <w:lang w:eastAsia="zh-CN"/>
        </w:rPr>
        <w:t>】</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w:t>
      </w:r>
      <w:r>
        <w:rPr>
          <w:rFonts w:hint="eastAsia"/>
          <w:sz w:val="24"/>
          <w:szCs w:val="24"/>
          <w:lang w:eastAsia="zh-CN"/>
        </w:rPr>
        <w:t>【叠加享受】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三、</w:t>
      </w:r>
      <w:r>
        <w:rPr>
          <w:rFonts w:hint="eastAsia" w:ascii="宋体" w:hAnsi="宋体" w:eastAsia="宋体" w:cs="宋体"/>
          <w:b/>
          <w:i w:val="0"/>
          <w:caps w:val="0"/>
          <w:color w:val="333333"/>
          <w:spacing w:val="0"/>
          <w:sz w:val="24"/>
          <w:szCs w:val="24"/>
          <w:shd w:val="clear" w:fill="FFFFFF"/>
          <w:lang w:eastAsia="zh-CN"/>
        </w:rPr>
        <w:t>【小型微利企业的概念】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本公告所称小型微利企业，是指从事国家非限制和禁止行业，且同时符合年度应纳税所得额不超过300万元、从业人数不超过300人、资产总额不超过5000万元等三个条件的企业。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从业人数，包括与企业建立劳动关系的职工人数和企业接受的劳务派遣用工人数。所称从业人数和资产总额指标，应按企业全年的季度平均值确定。具体计算公式如下：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季度平均值＝（季初值＋季末值）÷2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全年季度平均值＝全年各季度平均值之和÷4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年度中间开业或者终止经营活动的，以其</w:t>
      </w:r>
      <w:r>
        <w:rPr>
          <w:rFonts w:hint="eastAsia" w:ascii="宋体" w:hAnsi="宋体" w:eastAsia="宋体" w:cs="宋体"/>
          <w:i w:val="0"/>
          <w:caps w:val="0"/>
          <w:color w:val="C55A11" w:themeColor="accent2" w:themeShade="BF"/>
          <w:spacing w:val="0"/>
          <w:sz w:val="24"/>
          <w:szCs w:val="24"/>
          <w:shd w:val="clear" w:fill="FFFFFF"/>
        </w:rPr>
        <w:t>实际经营期作为一个纳税年度</w:t>
      </w:r>
      <w:r>
        <w:rPr>
          <w:rFonts w:hint="eastAsia" w:ascii="宋体" w:hAnsi="宋体" w:eastAsia="宋体" w:cs="宋体"/>
          <w:i w:val="0"/>
          <w:caps w:val="0"/>
          <w:color w:val="333333"/>
          <w:spacing w:val="0"/>
          <w:sz w:val="24"/>
          <w:szCs w:val="24"/>
          <w:shd w:val="clear" w:fill="FFFFFF"/>
        </w:rPr>
        <w:t>确定上述相关指标。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小型微利企业的判定以</w:t>
      </w:r>
      <w:r>
        <w:rPr>
          <w:rFonts w:hint="eastAsia" w:ascii="宋体" w:hAnsi="宋体" w:eastAsia="宋体" w:cs="宋体"/>
          <w:i w:val="0"/>
          <w:caps w:val="0"/>
          <w:color w:val="C55A11" w:themeColor="accent2" w:themeShade="BF"/>
          <w:spacing w:val="0"/>
          <w:sz w:val="24"/>
          <w:szCs w:val="24"/>
          <w:shd w:val="clear" w:fill="FFFFFF"/>
        </w:rPr>
        <w:t>企业所得税年度汇算清缴结果为准</w:t>
      </w:r>
      <w:r>
        <w:rPr>
          <w:rFonts w:hint="eastAsia" w:ascii="宋体" w:hAnsi="宋体" w:eastAsia="宋体" w:cs="宋体"/>
          <w:i w:val="0"/>
          <w:caps w:val="0"/>
          <w:color w:val="333333"/>
          <w:spacing w:val="0"/>
          <w:sz w:val="24"/>
          <w:szCs w:val="24"/>
          <w:shd w:val="clear" w:fill="FFFFFF"/>
        </w:rPr>
        <w:t>。登记为增值税一般纳税人的新设立的企业，从事国家非限制和禁止行业，且同时符合申报期上月末从业人数不超过300人、资产总额不超过5000万元等两个条件的，</w:t>
      </w:r>
      <w:r>
        <w:rPr>
          <w:rFonts w:hint="eastAsia" w:ascii="宋体" w:hAnsi="宋体" w:eastAsia="宋体" w:cs="宋体"/>
          <w:i w:val="0"/>
          <w:caps w:val="0"/>
          <w:color w:val="C55A11" w:themeColor="accent2" w:themeShade="BF"/>
          <w:spacing w:val="0"/>
          <w:sz w:val="24"/>
          <w:szCs w:val="24"/>
          <w:shd w:val="clear" w:fill="FFFFFF"/>
        </w:rPr>
        <w:t>可在首次办理汇算清缴前按照小型微利企业</w:t>
      </w:r>
      <w:r>
        <w:rPr>
          <w:rFonts w:hint="eastAsia" w:ascii="宋体" w:hAnsi="宋体" w:eastAsia="宋体" w:cs="宋体"/>
          <w:i w:val="0"/>
          <w:caps w:val="0"/>
          <w:color w:val="333333"/>
          <w:spacing w:val="0"/>
          <w:sz w:val="24"/>
          <w:szCs w:val="24"/>
          <w:shd w:val="clear" w:fill="FFFFFF"/>
        </w:rPr>
        <w:t>申报享受第一条规定的优惠政策。</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四、</w:t>
      </w:r>
      <w:r>
        <w:rPr>
          <w:rFonts w:hint="eastAsia" w:ascii="宋体" w:hAnsi="宋体" w:eastAsia="宋体" w:cs="宋体"/>
          <w:b/>
          <w:i w:val="0"/>
          <w:caps w:val="0"/>
          <w:color w:val="333333"/>
          <w:spacing w:val="0"/>
          <w:sz w:val="24"/>
          <w:szCs w:val="24"/>
          <w:shd w:val="clear" w:fill="FFFFFF"/>
          <w:lang w:eastAsia="zh-CN"/>
        </w:rPr>
        <w:t>【执行期限】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本公告执行期限为2022年1月1日至2024年12月31日。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特此公告。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财政部 税务总局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2022年3月1日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DF0000"/>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C00E0"/>
    <w:rsid w:val="22F81BBE"/>
    <w:rsid w:val="3DDC6480"/>
    <w:rsid w:val="3FBC66C9"/>
    <w:rsid w:val="49C16AB0"/>
    <w:rsid w:val="559E0929"/>
    <w:rsid w:val="5CC8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2022-03-04T22:32:00Z</dcterms:created>
  <dc:creator>fzr</dc:creator>
  <cp:lastModifiedBy>默默</cp:lastModifiedBy>
  <dcterms:modified xsi:type="dcterms:W3CDTF">2022-03-05T12:21:16Z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