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关于中小微企业设备器具所得税税前扣除有关政策的公告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"http://ssfb86.com/index/News/detail/newsid/10189.html"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财政部 税务总局公告2022年第12号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为促进中小微企业设备更新和技术升级，持续激发市场主体创新活力，现就有关企业所得税税前扣除政策公告如下：</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【加速折旧、递延补亏】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中小微企业在</w:t>
      </w:r>
      <w:r>
        <w:rPr>
          <w:rFonts w:hint="eastAsia" w:ascii="宋体" w:hAnsi="宋体" w:eastAsia="宋体" w:cs="宋体"/>
          <w:i w:val="0"/>
          <w:caps w:val="0"/>
          <w:color w:val="C55A11" w:themeColor="accent2" w:themeShade="BF"/>
          <w:spacing w:val="0"/>
          <w:sz w:val="24"/>
          <w:szCs w:val="24"/>
          <w:shd w:val="clear" w:fill="FFFFFF"/>
        </w:rPr>
        <w:t>2022年1月1日至2022年12月31日</w:t>
      </w:r>
      <w:r>
        <w:rPr>
          <w:rFonts w:hint="eastAsia" w:ascii="宋体" w:hAnsi="宋体" w:eastAsia="宋体" w:cs="宋体"/>
          <w:i w:val="0"/>
          <w:caps w:val="0"/>
          <w:color w:val="333333"/>
          <w:spacing w:val="0"/>
          <w:sz w:val="24"/>
          <w:szCs w:val="24"/>
          <w:shd w:val="clear" w:fill="FFFFFF"/>
        </w:rPr>
        <w:t>期间</w:t>
      </w:r>
      <w:r>
        <w:rPr>
          <w:rFonts w:hint="eastAsia" w:ascii="宋体" w:hAnsi="宋体" w:eastAsia="宋体" w:cs="宋体"/>
          <w:i w:val="0"/>
          <w:caps w:val="0"/>
          <w:color w:val="C55A11" w:themeColor="accent2" w:themeShade="BF"/>
          <w:spacing w:val="0"/>
          <w:sz w:val="24"/>
          <w:szCs w:val="24"/>
          <w:shd w:val="clear" w:fill="FFFFFF"/>
        </w:rPr>
        <w:t>新购置</w:t>
      </w:r>
      <w:r>
        <w:rPr>
          <w:rFonts w:hint="eastAsia" w:ascii="宋体" w:hAnsi="宋体" w:eastAsia="宋体" w:cs="宋体"/>
          <w:i w:val="0"/>
          <w:caps w:val="0"/>
          <w:color w:val="333333"/>
          <w:spacing w:val="0"/>
          <w:sz w:val="24"/>
          <w:szCs w:val="24"/>
          <w:shd w:val="clear" w:fill="FFFFFF"/>
        </w:rPr>
        <w:t>的</w:t>
      </w:r>
      <w:r>
        <w:rPr>
          <w:rFonts w:hint="eastAsia" w:ascii="宋体" w:hAnsi="宋体" w:eastAsia="宋体" w:cs="宋体"/>
          <w:i w:val="0"/>
          <w:caps w:val="0"/>
          <w:color w:val="C55A11" w:themeColor="accent2" w:themeShade="BF"/>
          <w:spacing w:val="0"/>
          <w:sz w:val="24"/>
          <w:szCs w:val="24"/>
          <w:shd w:val="clear" w:fill="FFFFFF"/>
        </w:rPr>
        <w:t>设备、器具</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C55A11" w:themeColor="accent2" w:themeShade="BF"/>
          <w:spacing w:val="0"/>
          <w:sz w:val="24"/>
          <w:szCs w:val="24"/>
          <w:shd w:val="clear" w:fill="FFFFFF"/>
        </w:rPr>
        <w:t>单位价值在500万元以上</w:t>
      </w:r>
      <w:r>
        <w:rPr>
          <w:rFonts w:hint="eastAsia" w:ascii="宋体" w:hAnsi="宋体" w:eastAsia="宋体" w:cs="宋体"/>
          <w:i w:val="0"/>
          <w:caps w:val="0"/>
          <w:color w:val="333333"/>
          <w:spacing w:val="0"/>
          <w:sz w:val="24"/>
          <w:szCs w:val="24"/>
          <w:shd w:val="clear" w:fill="FFFFFF"/>
        </w:rPr>
        <w:t>的，按照单位价值的一定比例自愿选择在企业所得税税前扣除。其中，</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"http://ssfb86.com/index/News/detail/newsid/7083.html" </w:instrText>
      </w:r>
      <w:r>
        <w:rPr>
          <w:rFonts w:hint="eastAsia" w:ascii="宋体" w:hAnsi="宋体" w:eastAsia="宋体" w:cs="宋体"/>
          <w:i w:val="0"/>
          <w:caps w:val="0"/>
          <w:color w:val="333333"/>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企业所得税法实施条例</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规定</w:t>
      </w:r>
      <w:r>
        <w:rPr>
          <w:rFonts w:hint="eastAsia" w:ascii="宋体" w:hAnsi="宋体" w:eastAsia="宋体" w:cs="宋体"/>
          <w:i w:val="0"/>
          <w:caps w:val="0"/>
          <w:color w:val="C55A11" w:themeColor="accent2" w:themeShade="BF"/>
          <w:spacing w:val="0"/>
          <w:sz w:val="24"/>
          <w:szCs w:val="24"/>
          <w:shd w:val="clear" w:fill="FFFFFF"/>
        </w:rPr>
        <w:t>最低折旧年限为3年的设备器具，单位价值的100%可在当年一次性税前扣除</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C55A11" w:themeColor="accent2" w:themeShade="BF"/>
          <w:spacing w:val="0"/>
          <w:sz w:val="24"/>
          <w:szCs w:val="24"/>
          <w:shd w:val="clear" w:fill="FFFFFF"/>
        </w:rPr>
        <w:t>最低折旧年限为4年、5年、10年的，单位价值的50%可在当年一次性税前扣除，其余50%按规定在剩余年度计算折旧</w:t>
      </w:r>
      <w:r>
        <w:rPr>
          <w:rFonts w:hint="eastAsia" w:ascii="宋体" w:hAnsi="宋体" w:eastAsia="宋体" w:cs="宋体"/>
          <w:i w:val="0"/>
          <w:caps w:val="0"/>
          <w:color w:val="333333"/>
          <w:spacing w:val="0"/>
          <w:sz w:val="24"/>
          <w:szCs w:val="24"/>
          <w:shd w:val="clear" w:fill="FFFFFF"/>
        </w:rPr>
        <w:t>进行税前扣除。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企业选择适用</w:t>
      </w:r>
      <w:r>
        <w:rPr>
          <w:rFonts w:hint="eastAsia" w:ascii="宋体" w:hAnsi="宋体" w:eastAsia="宋体" w:cs="宋体"/>
          <w:i w:val="0"/>
          <w:caps w:val="0"/>
          <w:color w:val="C55A11" w:themeColor="accent2" w:themeShade="BF"/>
          <w:spacing w:val="0"/>
          <w:sz w:val="24"/>
          <w:szCs w:val="24"/>
          <w:shd w:val="clear" w:fill="FFFFFF"/>
        </w:rPr>
        <w:t>上述政策当年不足扣除形成的亏损，可在以后5个纳税年度结转弥补，享受其他延长亏损结转年限政策的企业可按现行</w:t>
      </w:r>
      <w:r>
        <w:rPr>
          <w:rFonts w:hint="eastAsia" w:ascii="宋体" w:hAnsi="宋体" w:eastAsia="宋体" w:cs="宋体"/>
          <w:i w:val="0"/>
          <w:caps w:val="0"/>
          <w:color w:val="333333"/>
          <w:spacing w:val="0"/>
          <w:sz w:val="24"/>
          <w:szCs w:val="24"/>
          <w:shd w:val="clear" w:fill="FFFFFF"/>
        </w:rPr>
        <w:t>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【提示：根据《</w:t>
      </w:r>
      <w:r>
        <w:rPr>
          <w:rFonts w:hint="eastAsia" w:ascii="楷体" w:hAnsi="楷体" w:eastAsia="楷体" w:cs="楷体"/>
          <w:i w:val="0"/>
          <w:caps w:val="0"/>
          <w:color w:val="0070C0"/>
          <w:spacing w:val="0"/>
          <w:sz w:val="24"/>
          <w:szCs w:val="24"/>
          <w:shd w:val="clear" w:fill="FFFFFF"/>
        </w:rPr>
        <w:fldChar w:fldCharType="begin"/>
      </w:r>
      <w:r>
        <w:rPr>
          <w:rFonts w:hint="eastAsia" w:ascii="楷体" w:hAnsi="楷体" w:eastAsia="楷体" w:cs="楷体"/>
          <w:i w:val="0"/>
          <w:caps w:val="0"/>
          <w:color w:val="0070C0"/>
          <w:spacing w:val="0"/>
          <w:sz w:val="24"/>
          <w:szCs w:val="24"/>
          <w:shd w:val="clear" w:fill="FFFFFF"/>
        </w:rPr>
        <w:instrText xml:space="preserve"> HYPERLINK "http://ssfb86.com/index/News/detail/newsid/7083.html" </w:instrText>
      </w:r>
      <w:r>
        <w:rPr>
          <w:rFonts w:hint="eastAsia" w:ascii="楷体" w:hAnsi="楷体" w:eastAsia="楷体" w:cs="楷体"/>
          <w:i w:val="0"/>
          <w:caps w:val="0"/>
          <w:color w:val="0070C0"/>
          <w:spacing w:val="0"/>
          <w:sz w:val="24"/>
          <w:szCs w:val="24"/>
          <w:shd w:val="clear" w:fill="FFFFFF"/>
        </w:rPr>
        <w:fldChar w:fldCharType="separate"/>
      </w:r>
      <w:r>
        <w:rPr>
          <w:rStyle w:val="6"/>
          <w:rFonts w:hint="eastAsia" w:ascii="楷体" w:hAnsi="楷体" w:eastAsia="楷体" w:cs="楷体"/>
          <w:i w:val="0"/>
          <w:caps w:val="0"/>
          <w:color w:val="0070C0"/>
          <w:spacing w:val="0"/>
          <w:sz w:val="24"/>
          <w:szCs w:val="24"/>
          <w:shd w:val="clear" w:fill="FFFFFF"/>
        </w:rPr>
        <w:t>企业所得税法实施条例</w:t>
      </w:r>
      <w:r>
        <w:rPr>
          <w:rFonts w:hint="eastAsia" w:ascii="楷体" w:hAnsi="楷体" w:eastAsia="楷体" w:cs="楷体"/>
          <w:i w:val="0"/>
          <w:caps w:val="0"/>
          <w:color w:val="0070C0"/>
          <w:spacing w:val="0"/>
          <w:sz w:val="24"/>
          <w:szCs w:val="24"/>
          <w:shd w:val="clear" w:fill="FFFFFF"/>
        </w:rPr>
        <w:fldChar w:fldCharType="end"/>
      </w:r>
      <w:r>
        <w:rPr>
          <w:rFonts w:hint="eastAsia" w:ascii="楷体" w:hAnsi="楷体" w:eastAsia="楷体" w:cs="楷体"/>
          <w:i w:val="0"/>
          <w:caps w:val="0"/>
          <w:color w:val="0070C0"/>
          <w:spacing w:val="0"/>
          <w:sz w:val="24"/>
          <w:szCs w:val="24"/>
          <w:shd w:val="clear" w:fill="FFFFFF"/>
          <w:lang w:eastAsia="zh-CN"/>
        </w:rPr>
        <w:t>》第六十条规定：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1</w:t>
      </w:r>
      <w:r>
        <w:rPr>
          <w:rFonts w:hint="eastAsia" w:ascii="楷体" w:hAnsi="楷体" w:eastAsia="楷体" w:cs="楷体"/>
          <w:i w:val="0"/>
          <w:caps w:val="0"/>
          <w:color w:val="0070C0"/>
          <w:spacing w:val="0"/>
          <w:sz w:val="24"/>
          <w:szCs w:val="24"/>
          <w:shd w:val="clear" w:fill="FFFFFF"/>
          <w:lang w:eastAsia="zh-CN"/>
        </w:rPr>
        <w:t>）最低折旧年限为</w:t>
      </w:r>
      <w:r>
        <w:rPr>
          <w:rFonts w:hint="eastAsia" w:ascii="楷体" w:hAnsi="楷体" w:eastAsia="楷体" w:cs="楷体"/>
          <w:i w:val="0"/>
          <w:caps w:val="0"/>
          <w:color w:val="0070C0"/>
          <w:spacing w:val="0"/>
          <w:sz w:val="24"/>
          <w:szCs w:val="24"/>
          <w:shd w:val="clear" w:fill="FFFFFF"/>
          <w:lang w:val="en-US" w:eastAsia="zh-CN"/>
        </w:rPr>
        <w:t>3年的——</w:t>
      </w:r>
      <w:r>
        <w:rPr>
          <w:rFonts w:hint="eastAsia" w:ascii="楷体" w:hAnsi="楷体" w:eastAsia="楷体" w:cs="楷体"/>
          <w:i w:val="0"/>
          <w:caps w:val="0"/>
          <w:color w:val="0070C0"/>
          <w:spacing w:val="0"/>
          <w:sz w:val="24"/>
          <w:szCs w:val="24"/>
          <w:shd w:val="clear" w:fill="FFFFFF"/>
          <w:lang w:eastAsia="zh-CN"/>
        </w:rPr>
        <w:t>电子设备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val="en-US"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2</w:t>
      </w:r>
      <w:r>
        <w:rPr>
          <w:rFonts w:hint="eastAsia" w:ascii="楷体" w:hAnsi="楷体" w:eastAsia="楷体" w:cs="楷体"/>
          <w:i w:val="0"/>
          <w:caps w:val="0"/>
          <w:color w:val="0070C0"/>
          <w:spacing w:val="0"/>
          <w:sz w:val="24"/>
          <w:szCs w:val="24"/>
          <w:shd w:val="clear" w:fill="FFFFFF"/>
          <w:lang w:eastAsia="zh-CN"/>
        </w:rPr>
        <w:t>）最低折旧年限为</w:t>
      </w:r>
      <w:r>
        <w:rPr>
          <w:rFonts w:hint="eastAsia" w:ascii="楷体" w:hAnsi="楷体" w:eastAsia="楷体" w:cs="楷体"/>
          <w:i w:val="0"/>
          <w:caps w:val="0"/>
          <w:color w:val="0070C0"/>
          <w:spacing w:val="0"/>
          <w:sz w:val="24"/>
          <w:szCs w:val="24"/>
          <w:shd w:val="clear" w:fill="FFFFFF"/>
          <w:lang w:val="en-US" w:eastAsia="zh-CN"/>
        </w:rPr>
        <w:t>4年的——</w:t>
      </w:r>
      <w:r>
        <w:rPr>
          <w:rFonts w:hint="eastAsia" w:ascii="楷体" w:hAnsi="楷体" w:eastAsia="楷体" w:cs="楷体"/>
          <w:i w:val="0"/>
          <w:caps w:val="0"/>
          <w:color w:val="0070C0"/>
          <w:spacing w:val="0"/>
          <w:sz w:val="24"/>
          <w:szCs w:val="24"/>
          <w:shd w:val="clear" w:fill="FFFFFF"/>
          <w:lang w:eastAsia="zh-CN"/>
        </w:rPr>
        <w:t>飞机、火车、轮船以外的运输工具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3）</w:t>
      </w:r>
      <w:r>
        <w:rPr>
          <w:rFonts w:hint="eastAsia" w:ascii="楷体" w:hAnsi="楷体" w:eastAsia="楷体" w:cs="楷体"/>
          <w:i w:val="0"/>
          <w:caps w:val="0"/>
          <w:color w:val="0070C0"/>
          <w:spacing w:val="0"/>
          <w:sz w:val="24"/>
          <w:szCs w:val="24"/>
          <w:shd w:val="clear" w:fill="FFFFFF"/>
          <w:lang w:eastAsia="zh-CN"/>
        </w:rPr>
        <w:t>最低折旧年限为</w:t>
      </w:r>
      <w:r>
        <w:rPr>
          <w:rFonts w:hint="eastAsia" w:ascii="楷体" w:hAnsi="楷体" w:eastAsia="楷体" w:cs="楷体"/>
          <w:i w:val="0"/>
          <w:caps w:val="0"/>
          <w:color w:val="0070C0"/>
          <w:spacing w:val="0"/>
          <w:sz w:val="24"/>
          <w:szCs w:val="24"/>
          <w:shd w:val="clear" w:fill="FFFFFF"/>
          <w:lang w:val="en-US" w:eastAsia="zh-CN"/>
        </w:rPr>
        <w:t>5年的——</w:t>
      </w:r>
      <w:r>
        <w:rPr>
          <w:rFonts w:hint="eastAsia" w:ascii="楷体" w:hAnsi="楷体" w:eastAsia="楷体" w:cs="楷体"/>
          <w:i w:val="0"/>
          <w:caps w:val="0"/>
          <w:color w:val="0070C0"/>
          <w:spacing w:val="0"/>
          <w:sz w:val="24"/>
          <w:szCs w:val="24"/>
          <w:shd w:val="clear" w:fill="FFFFFF"/>
          <w:lang w:eastAsia="zh-CN"/>
        </w:rPr>
        <w:t>与生产经营活动有关的器具、工具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4</w:t>
      </w:r>
      <w:r>
        <w:rPr>
          <w:rFonts w:hint="eastAsia" w:ascii="楷体" w:hAnsi="楷体" w:eastAsia="楷体" w:cs="楷体"/>
          <w:i w:val="0"/>
          <w:caps w:val="0"/>
          <w:color w:val="0070C0"/>
          <w:spacing w:val="0"/>
          <w:sz w:val="24"/>
          <w:szCs w:val="24"/>
          <w:shd w:val="clear" w:fill="FFFFFF"/>
          <w:lang w:eastAsia="zh-CN"/>
        </w:rPr>
        <w:t>）最低折旧年限为</w:t>
      </w:r>
      <w:r>
        <w:rPr>
          <w:rFonts w:hint="eastAsia" w:ascii="楷体" w:hAnsi="楷体" w:eastAsia="楷体" w:cs="楷体"/>
          <w:i w:val="0"/>
          <w:caps w:val="0"/>
          <w:color w:val="0070C0"/>
          <w:spacing w:val="0"/>
          <w:sz w:val="24"/>
          <w:szCs w:val="24"/>
          <w:shd w:val="clear" w:fill="FFFFFF"/>
          <w:lang w:val="en-US" w:eastAsia="zh-CN"/>
        </w:rPr>
        <w:t>10年的——</w:t>
      </w:r>
      <w:r>
        <w:rPr>
          <w:rFonts w:hint="eastAsia" w:ascii="楷体" w:hAnsi="楷体" w:eastAsia="楷体" w:cs="楷体"/>
          <w:i w:val="0"/>
          <w:caps w:val="0"/>
          <w:color w:val="0070C0"/>
          <w:spacing w:val="0"/>
          <w:sz w:val="24"/>
          <w:szCs w:val="24"/>
          <w:shd w:val="clear" w:fill="FFFFFF"/>
          <w:lang w:eastAsia="zh-CN"/>
        </w:rPr>
        <w:t>飞机、火车、轮船、机器、机械和其他生产设备】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lang w:eastAsia="zh-CN"/>
        </w:rPr>
      </w:pPr>
      <w:r>
        <w:rPr>
          <w:rFonts w:hint="eastAsia" w:ascii="楷体" w:hAnsi="楷体" w:eastAsia="楷体" w:cs="楷体"/>
          <w:i w:val="0"/>
          <w:caps w:val="0"/>
          <w:color w:val="0070C0"/>
          <w:spacing w:val="0"/>
          <w:sz w:val="24"/>
          <w:szCs w:val="24"/>
          <w:shd w:val="clear" w:fill="FFFFFF"/>
          <w:lang w:eastAsia="zh-CN"/>
        </w:rPr>
        <w:t>【提示：对照</w:t>
      </w:r>
      <w:r>
        <w:rPr>
          <w:rFonts w:hint="eastAsia" w:ascii="楷体" w:hAnsi="楷体" w:eastAsia="楷体" w:cs="楷体"/>
          <w:color w:val="0070C0"/>
        </w:rPr>
        <w:fldChar w:fldCharType="begin"/>
      </w:r>
      <w:r>
        <w:rPr>
          <w:rFonts w:hint="eastAsia" w:ascii="楷体" w:hAnsi="楷体" w:eastAsia="楷体" w:cs="楷体"/>
          <w:color w:val="0070C0"/>
        </w:rPr>
        <w:instrText xml:space="preserve"> HYPERLINK "http://ssfb86.com/index/News/detail/newsid/306.html" </w:instrText>
      </w:r>
      <w:r>
        <w:rPr>
          <w:rFonts w:hint="eastAsia" w:ascii="楷体" w:hAnsi="楷体" w:eastAsia="楷体" w:cs="楷体"/>
          <w:color w:val="0070C0"/>
        </w:rPr>
        <w:fldChar w:fldCharType="separate"/>
      </w:r>
      <w:r>
        <w:rPr>
          <w:rStyle w:val="6"/>
          <w:rFonts w:hint="eastAsia" w:ascii="楷体" w:hAnsi="楷体" w:eastAsia="楷体" w:cs="楷体"/>
          <w:color w:val="0070C0"/>
        </w:rPr>
        <w:t>国家税务总局公告2018年第46号</w:t>
      </w:r>
      <w:r>
        <w:rPr>
          <w:rStyle w:val="6"/>
          <w:rFonts w:hint="eastAsia" w:ascii="楷体" w:hAnsi="楷体" w:eastAsia="楷体" w:cs="楷体"/>
          <w:color w:val="0070C0"/>
        </w:rPr>
        <w:fldChar w:fldCharType="end"/>
      </w:r>
      <w:r>
        <w:rPr>
          <w:rFonts w:hint="eastAsia" w:ascii="楷体" w:hAnsi="楷体" w:eastAsia="楷体" w:cs="楷体"/>
          <w:color w:val="0070C0"/>
        </w:rPr>
        <w:t>第一条</w:t>
      </w:r>
      <w:r>
        <w:rPr>
          <w:rFonts w:hint="eastAsia" w:ascii="楷体" w:hAnsi="楷体" w:eastAsia="楷体" w:cs="楷体"/>
          <w:color w:val="0070C0"/>
          <w:lang w:eastAsia="zh-CN"/>
        </w:rPr>
        <w:t>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1）</w:t>
      </w:r>
      <w:r>
        <w:rPr>
          <w:rFonts w:hint="eastAsia" w:ascii="楷体" w:hAnsi="楷体" w:eastAsia="楷体" w:cs="楷体"/>
          <w:i w:val="0"/>
          <w:caps w:val="0"/>
          <w:color w:val="0070C0"/>
          <w:spacing w:val="0"/>
          <w:sz w:val="24"/>
          <w:szCs w:val="24"/>
          <w:shd w:val="clear" w:fill="FFFFFF"/>
          <w:lang w:eastAsia="zh-CN"/>
        </w:rPr>
        <w:t>购进，包括以货币形式购进或自行建造，其中以货币形式购进的固定资产</w:t>
      </w:r>
      <w:r>
        <w:rPr>
          <w:rFonts w:hint="eastAsia" w:ascii="楷体" w:hAnsi="楷体" w:eastAsia="楷体" w:cs="楷体"/>
          <w:b/>
          <w:bCs/>
          <w:i w:val="0"/>
          <w:caps w:val="0"/>
          <w:color w:val="0070C0"/>
          <w:spacing w:val="0"/>
          <w:sz w:val="24"/>
          <w:szCs w:val="24"/>
          <w:shd w:val="clear" w:fill="FFFFFF"/>
          <w:lang w:eastAsia="zh-CN"/>
        </w:rPr>
        <w:t>包括购进的使用过的固定资产</w:t>
      </w:r>
      <w:r>
        <w:rPr>
          <w:rFonts w:hint="eastAsia" w:ascii="楷体" w:hAnsi="楷体" w:eastAsia="楷体" w:cs="楷体"/>
          <w:i w:val="0"/>
          <w:caps w:val="0"/>
          <w:color w:val="0070C0"/>
          <w:spacing w:val="0"/>
          <w:sz w:val="24"/>
          <w:szCs w:val="24"/>
          <w:shd w:val="clear" w:fill="FFFFFF"/>
          <w:lang w:eastAsia="zh-CN"/>
        </w:rPr>
        <w:t>；以货币形式购进的固定资产，以购买价款和支付的相关税费以及直接归属于使该资产达到预定用途发生的其他支出确定单位价值，自行建造的固定资产，以竣工结算前发生的支出确定单位价值。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2）</w:t>
      </w:r>
      <w:r>
        <w:rPr>
          <w:rFonts w:hint="eastAsia" w:ascii="楷体" w:hAnsi="楷体" w:eastAsia="楷体" w:cs="楷体"/>
          <w:i w:val="0"/>
          <w:caps w:val="0"/>
          <w:color w:val="0070C0"/>
          <w:spacing w:val="0"/>
          <w:sz w:val="24"/>
          <w:szCs w:val="24"/>
          <w:shd w:val="clear" w:fill="FFFFFF"/>
          <w:lang w:eastAsia="zh-CN"/>
        </w:rPr>
        <w:t>固定资产购进时点按以下原则确认：以货币形式购进的固定资产，除采取分期付款或赊销方式购进外，按发票开具时间确认；以</w:t>
      </w:r>
      <w:r>
        <w:rPr>
          <w:rFonts w:hint="eastAsia" w:ascii="楷体" w:hAnsi="楷体" w:eastAsia="楷体" w:cs="楷体"/>
          <w:b/>
          <w:bCs/>
          <w:i w:val="0"/>
          <w:caps w:val="0"/>
          <w:color w:val="0070C0"/>
          <w:spacing w:val="0"/>
          <w:sz w:val="24"/>
          <w:szCs w:val="24"/>
          <w:shd w:val="clear" w:fill="FFFFFF"/>
          <w:lang w:eastAsia="zh-CN"/>
        </w:rPr>
        <w:t>分期付款或赊销方式购进的固定资产，按固定资产到货时间确认</w:t>
      </w:r>
      <w:r>
        <w:rPr>
          <w:rFonts w:hint="eastAsia" w:ascii="楷体" w:hAnsi="楷体" w:eastAsia="楷体" w:cs="楷体"/>
          <w:i w:val="0"/>
          <w:caps w:val="0"/>
          <w:color w:val="0070C0"/>
          <w:spacing w:val="0"/>
          <w:sz w:val="24"/>
          <w:szCs w:val="24"/>
          <w:shd w:val="clear" w:fill="FFFFFF"/>
          <w:lang w:eastAsia="zh-CN"/>
        </w:rPr>
        <w:t>；自行建造的固定资产，按竣工结算时间确认。】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bookmarkStart w:id="0" w:name="_GoBack"/>
      <w:bookmarkEnd w:id="0"/>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二、</w:t>
      </w:r>
      <w:r>
        <w:rPr>
          <w:rFonts w:hint="eastAsia"/>
          <w:b/>
          <w:sz w:val="24"/>
          <w:szCs w:val="24"/>
          <w:lang w:eastAsia="zh-CN"/>
        </w:rPr>
        <w:t>【中小微企业的概念】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本公告所称中小微企业是指从事国家非限制和禁止行业，且符合以下条件的企业：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（一）信息传输业、建筑业、租赁和商务服务业：从业人员2000人以下，或营业收入10亿元以下或资产总额12亿元以下；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（二）房地产开发经营：营业收入20亿元以下或资产总额1亿元以下；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（三）其他行业：从业人员1000人以下或营业收入4亿元以下。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【提示：行业划分——参照《</w:t>
      </w:r>
      <w:r>
        <w:rPr>
          <w:rFonts w:hint="eastAsia" w:ascii="楷体" w:hAnsi="楷体" w:eastAsia="楷体" w:cs="楷体"/>
          <w:i w:val="0"/>
          <w:caps w:val="0"/>
          <w:color w:val="0066CC"/>
          <w:spacing w:val="0"/>
          <w:sz w:val="24"/>
          <w:szCs w:val="24"/>
          <w:u w:val="single"/>
          <w:shd w:val="clear" w:fill="FFFFFF"/>
        </w:rPr>
        <w:fldChar w:fldCharType="begin"/>
      </w:r>
      <w:r>
        <w:rPr>
          <w:rFonts w:hint="eastAsia" w:ascii="楷体" w:hAnsi="楷体" w:eastAsia="楷体" w:cs="楷体"/>
          <w:i w:val="0"/>
          <w:caps w:val="0"/>
          <w:color w:val="0066CC"/>
          <w:spacing w:val="0"/>
          <w:sz w:val="24"/>
          <w:szCs w:val="24"/>
          <w:u w:val="single"/>
          <w:shd w:val="clear" w:fill="FFFFFF"/>
        </w:rPr>
        <w:instrText xml:space="preserve"> HYPERLINK "http://ssfb86.com/uploadfile/file/20200526/1590441905920659.doc" \o "国民经济行业分类2017版.doc" </w:instrText>
      </w:r>
      <w:r>
        <w:rPr>
          <w:rFonts w:hint="eastAsia" w:ascii="楷体" w:hAnsi="楷体" w:eastAsia="楷体" w:cs="楷体"/>
          <w:i w:val="0"/>
          <w:caps w:val="0"/>
          <w:color w:val="0066CC"/>
          <w:spacing w:val="0"/>
          <w:sz w:val="24"/>
          <w:szCs w:val="24"/>
          <w:u w:val="single"/>
          <w:shd w:val="clear" w:fill="FFFFFF"/>
        </w:rPr>
        <w:fldChar w:fldCharType="separate"/>
      </w:r>
      <w:r>
        <w:rPr>
          <w:rStyle w:val="6"/>
          <w:rFonts w:hint="eastAsia" w:ascii="楷体" w:hAnsi="楷体" w:eastAsia="楷体" w:cs="楷体"/>
          <w:i w:val="0"/>
          <w:caps w:val="0"/>
          <w:color w:val="0066CC"/>
          <w:spacing w:val="0"/>
          <w:sz w:val="24"/>
          <w:szCs w:val="24"/>
          <w:u w:val="single"/>
          <w:shd w:val="clear" w:fill="FFFFFF"/>
        </w:rPr>
        <w:t>国民经济行业分类2017版</w:t>
      </w:r>
      <w:r>
        <w:rPr>
          <w:rFonts w:hint="eastAsia" w:ascii="楷体" w:hAnsi="楷体" w:eastAsia="楷体" w:cs="楷体"/>
          <w:i w:val="0"/>
          <w:caps w:val="0"/>
          <w:color w:val="0066CC"/>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【提示：（</w:t>
      </w:r>
      <w:r>
        <w:rPr>
          <w:rFonts w:hint="eastAsia" w:ascii="楷体" w:hAnsi="楷体" w:eastAsia="楷体" w:cs="楷体"/>
          <w:i w:val="0"/>
          <w:caps w:val="0"/>
          <w:color w:val="0070C0"/>
          <w:spacing w:val="0"/>
          <w:sz w:val="24"/>
          <w:szCs w:val="24"/>
          <w:shd w:val="clear" w:fill="FFFFFF"/>
          <w:lang w:val="en-US" w:eastAsia="zh-CN"/>
        </w:rPr>
        <w:t>1）</w:t>
      </w:r>
      <w:r>
        <w:rPr>
          <w:rFonts w:hint="eastAsia" w:ascii="楷体" w:hAnsi="楷体" w:eastAsia="楷体" w:cs="楷体"/>
          <w:i w:val="0"/>
          <w:caps w:val="0"/>
          <w:color w:val="0070C0"/>
          <w:spacing w:val="0"/>
          <w:sz w:val="24"/>
          <w:szCs w:val="24"/>
          <w:shd w:val="clear" w:fill="FFFFFF"/>
          <w:lang w:eastAsia="zh-CN"/>
        </w:rPr>
        <w:t>《关于延续实施制造业中小微企业延缓缴纳部分税费有关事项的公告》（国家税务总局 财政部公告2022年第2号）中制造业中小微企业指4亿元以下（不含4亿元）的企业；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val="en-US" w:eastAsia="zh-CN"/>
        </w:rPr>
        <w:t>2）本文笨</w:t>
      </w:r>
      <w:r>
        <w:rPr>
          <w:rFonts w:hint="eastAsia" w:ascii="楷体" w:hAnsi="楷体" w:eastAsia="楷体" w:cs="楷体"/>
          <w:i w:val="0"/>
          <w:caps w:val="0"/>
          <w:color w:val="0070C0"/>
          <w:spacing w:val="0"/>
          <w:sz w:val="24"/>
          <w:szCs w:val="24"/>
          <w:shd w:val="clear" w:fill="FFFFFF"/>
          <w:lang w:eastAsia="zh-CN"/>
        </w:rPr>
        <w:t>第（三）项中，还包括从业人数</w:t>
      </w:r>
      <w:r>
        <w:rPr>
          <w:rFonts w:hint="eastAsia" w:ascii="楷体" w:hAnsi="楷体" w:eastAsia="楷体" w:cs="楷体"/>
          <w:i w:val="0"/>
          <w:caps w:val="0"/>
          <w:color w:val="0070C0"/>
          <w:spacing w:val="0"/>
          <w:sz w:val="24"/>
          <w:szCs w:val="24"/>
          <w:shd w:val="clear" w:fill="FFFFFF"/>
          <w:lang w:val="en-US" w:eastAsia="zh-CN"/>
        </w:rPr>
        <w:t>1000人以下的企业</w:t>
      </w:r>
      <w:r>
        <w:rPr>
          <w:rFonts w:hint="eastAsia" w:ascii="楷体" w:hAnsi="楷体" w:eastAsia="楷体" w:cs="楷体"/>
          <w:i w:val="0"/>
          <w:caps w:val="0"/>
          <w:color w:val="0070C0"/>
          <w:spacing w:val="0"/>
          <w:sz w:val="24"/>
          <w:szCs w:val="24"/>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shd w:val="clear" w:fill="FFFFFF"/>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三、</w:t>
      </w:r>
      <w:r>
        <w:rPr>
          <w:rFonts w:hint="eastAsia"/>
          <w:b/>
          <w:sz w:val="24"/>
          <w:szCs w:val="24"/>
          <w:lang w:eastAsia="zh-CN"/>
        </w:rPr>
        <w:t>【设备、器具的概念，从业人数、资产总额的计算公式】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本公告所称设备、器具，是指</w:t>
      </w:r>
      <w:r>
        <w:rPr>
          <w:rFonts w:hint="eastAsia" w:ascii="宋体" w:hAnsi="宋体" w:eastAsia="宋体" w:cs="宋体"/>
          <w:i w:val="0"/>
          <w:caps w:val="0"/>
          <w:color w:val="C55A11" w:themeColor="accent2" w:themeShade="BF"/>
          <w:spacing w:val="0"/>
          <w:sz w:val="24"/>
          <w:szCs w:val="24"/>
          <w:shd w:val="clear" w:fill="FFFFFF"/>
        </w:rPr>
        <w:t>除房屋、建筑物以外的固定资</w:t>
      </w:r>
      <w:r>
        <w:rPr>
          <w:rFonts w:hint="eastAsia" w:ascii="宋体" w:hAnsi="宋体" w:eastAsia="宋体" w:cs="宋体"/>
          <w:i w:val="0"/>
          <w:caps w:val="0"/>
          <w:color w:val="333333"/>
          <w:spacing w:val="0"/>
          <w:sz w:val="24"/>
          <w:szCs w:val="24"/>
          <w:shd w:val="clear" w:fill="FFFFFF"/>
        </w:rPr>
        <w:t>产；所称从业人数，包括与企业</w:t>
      </w:r>
      <w:r>
        <w:rPr>
          <w:rFonts w:hint="eastAsia" w:ascii="宋体" w:hAnsi="宋体" w:eastAsia="宋体" w:cs="宋体"/>
          <w:i w:val="0"/>
          <w:caps w:val="0"/>
          <w:color w:val="C55A11" w:themeColor="accent2" w:themeShade="BF"/>
          <w:spacing w:val="0"/>
          <w:sz w:val="24"/>
          <w:szCs w:val="24"/>
          <w:shd w:val="clear" w:fill="FFFFFF"/>
        </w:rPr>
        <w:t>建立劳动关系的职工人数和企业接受的</w:t>
      </w:r>
      <w:r>
        <w:rPr>
          <w:rFonts w:hint="eastAsia" w:ascii="宋体" w:hAnsi="宋体" w:eastAsia="宋体" w:cs="宋体"/>
          <w:b/>
          <w:bCs/>
          <w:i w:val="0"/>
          <w:caps w:val="0"/>
          <w:color w:val="C55A11" w:themeColor="accent2" w:themeShade="BF"/>
          <w:spacing w:val="0"/>
          <w:sz w:val="24"/>
          <w:szCs w:val="24"/>
          <w:shd w:val="clear" w:fill="FFFFFF"/>
        </w:rPr>
        <w:t>劳务派遣用工人</w:t>
      </w:r>
      <w:r>
        <w:rPr>
          <w:rFonts w:hint="eastAsia" w:ascii="宋体" w:hAnsi="宋体" w:eastAsia="宋体" w:cs="宋体"/>
          <w:i w:val="0"/>
          <w:caps w:val="0"/>
          <w:color w:val="C55A11" w:themeColor="accent2" w:themeShade="BF"/>
          <w:spacing w:val="0"/>
          <w:sz w:val="24"/>
          <w:szCs w:val="24"/>
          <w:shd w:val="clear" w:fill="FFFFFF"/>
        </w:rPr>
        <w:t>数</w:t>
      </w:r>
      <w:r>
        <w:rPr>
          <w:rFonts w:hint="eastAsia" w:ascii="宋体" w:hAnsi="宋体" w:eastAsia="宋体" w:cs="宋体"/>
          <w:i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从业人数和资产总额指标，应按企业全年的</w:t>
      </w:r>
      <w:r>
        <w:rPr>
          <w:rFonts w:hint="eastAsia" w:ascii="宋体" w:hAnsi="宋体" w:eastAsia="宋体" w:cs="宋体"/>
          <w:i w:val="0"/>
          <w:caps w:val="0"/>
          <w:color w:val="C55A11" w:themeColor="accent2" w:themeShade="BF"/>
          <w:spacing w:val="0"/>
          <w:sz w:val="24"/>
          <w:szCs w:val="24"/>
          <w:shd w:val="clear" w:fill="FFFFFF"/>
        </w:rPr>
        <w:t>季度平均值</w:t>
      </w:r>
      <w:r>
        <w:rPr>
          <w:rFonts w:hint="eastAsia" w:ascii="宋体" w:hAnsi="宋体" w:eastAsia="宋体" w:cs="宋体"/>
          <w:i w:val="0"/>
          <w:caps w:val="0"/>
          <w:color w:val="333333"/>
          <w:spacing w:val="0"/>
          <w:sz w:val="24"/>
          <w:szCs w:val="24"/>
          <w:shd w:val="clear" w:fill="FFFFFF"/>
        </w:rPr>
        <w:t>确定。具体计算公式如下：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季度平均值=（季初值+季末值）÷2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全年季度平均值=全年各季度平均值之和÷4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年度中间开业或者终止经营活动的，以其</w:t>
      </w:r>
      <w:r>
        <w:rPr>
          <w:rFonts w:hint="eastAsia" w:ascii="宋体" w:hAnsi="宋体" w:eastAsia="宋体" w:cs="宋体"/>
          <w:i w:val="0"/>
          <w:caps w:val="0"/>
          <w:color w:val="C55A11" w:themeColor="accent2" w:themeShade="BF"/>
          <w:spacing w:val="0"/>
          <w:sz w:val="24"/>
          <w:szCs w:val="24"/>
          <w:shd w:val="clear" w:fill="FFFFFF"/>
        </w:rPr>
        <w:t>实际经营期作为一个纳税年度</w:t>
      </w:r>
      <w:r>
        <w:rPr>
          <w:rFonts w:hint="eastAsia" w:ascii="宋体" w:hAnsi="宋体" w:eastAsia="宋体" w:cs="宋体"/>
          <w:i w:val="0"/>
          <w:caps w:val="0"/>
          <w:color w:val="333333"/>
          <w:spacing w:val="0"/>
          <w:sz w:val="24"/>
          <w:szCs w:val="24"/>
          <w:shd w:val="clear" w:fill="FFFFFF"/>
        </w:rPr>
        <w:t>确定上述相关指标。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四、</w:t>
      </w:r>
      <w:r>
        <w:rPr>
          <w:rFonts w:hint="eastAsia"/>
          <w:b/>
          <w:sz w:val="24"/>
          <w:szCs w:val="24"/>
          <w:lang w:eastAsia="zh-CN"/>
        </w:rPr>
        <w:t>【享受时间】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中小微企业可按季（月）</w:t>
      </w:r>
      <w:r>
        <w:rPr>
          <w:rFonts w:hint="eastAsia" w:ascii="宋体" w:hAnsi="宋体" w:eastAsia="宋体" w:cs="宋体"/>
          <w:i w:val="0"/>
          <w:caps w:val="0"/>
          <w:color w:val="C55A11" w:themeColor="accent2" w:themeShade="BF"/>
          <w:spacing w:val="0"/>
          <w:sz w:val="24"/>
          <w:szCs w:val="24"/>
          <w:shd w:val="clear" w:fill="FFFFFF"/>
        </w:rPr>
        <w:t>在预缴申报时享受</w:t>
      </w:r>
      <w:r>
        <w:rPr>
          <w:rFonts w:hint="eastAsia" w:ascii="宋体" w:hAnsi="宋体" w:eastAsia="宋体" w:cs="宋体"/>
          <w:i w:val="0"/>
          <w:caps w:val="0"/>
          <w:color w:val="333333"/>
          <w:spacing w:val="0"/>
          <w:sz w:val="24"/>
          <w:szCs w:val="24"/>
          <w:shd w:val="clear" w:fill="FFFFFF"/>
        </w:rPr>
        <w:t>上述政策。本公告发布前企业在2022年已购置的设备、器具，可在本公告发布后的预缴申报、年度汇算清缴时享受。</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五、</w:t>
      </w:r>
      <w:r>
        <w:rPr>
          <w:rFonts w:hint="eastAsia"/>
          <w:b/>
          <w:sz w:val="24"/>
          <w:szCs w:val="24"/>
          <w:lang w:eastAsia="zh-CN"/>
        </w:rPr>
        <w:t>【自主、一次选择】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中小微企业可根据自身生产经营核算需要</w:t>
      </w:r>
      <w:r>
        <w:rPr>
          <w:rFonts w:hint="eastAsia" w:ascii="宋体" w:hAnsi="宋体" w:eastAsia="宋体" w:cs="宋体"/>
          <w:i w:val="0"/>
          <w:caps w:val="0"/>
          <w:color w:val="C55A11" w:themeColor="accent2" w:themeShade="BF"/>
          <w:spacing w:val="0"/>
          <w:sz w:val="24"/>
          <w:szCs w:val="24"/>
          <w:shd w:val="clear" w:fill="FFFFFF"/>
        </w:rPr>
        <w:t>自行选择</w:t>
      </w:r>
      <w:r>
        <w:rPr>
          <w:rFonts w:hint="eastAsia" w:ascii="宋体" w:hAnsi="宋体" w:eastAsia="宋体" w:cs="宋体"/>
          <w:i w:val="0"/>
          <w:caps w:val="0"/>
          <w:color w:val="333333"/>
          <w:spacing w:val="0"/>
          <w:sz w:val="24"/>
          <w:szCs w:val="24"/>
          <w:shd w:val="clear" w:fill="FFFFFF"/>
        </w:rPr>
        <w:t>享受上述政策，</w:t>
      </w:r>
      <w:r>
        <w:rPr>
          <w:rFonts w:hint="eastAsia" w:ascii="宋体" w:hAnsi="宋体" w:eastAsia="宋体" w:cs="宋体"/>
          <w:b/>
          <w:bCs/>
          <w:i w:val="0"/>
          <w:caps w:val="0"/>
          <w:color w:val="C55A11" w:themeColor="accent2" w:themeShade="BF"/>
          <w:spacing w:val="0"/>
          <w:sz w:val="24"/>
          <w:szCs w:val="24"/>
          <w:shd w:val="clear" w:fill="FFFFFF"/>
        </w:rPr>
        <w:t>当年度未选择享受的，以后年度不得再变更享受</w:t>
      </w:r>
      <w:r>
        <w:rPr>
          <w:rFonts w:hint="eastAsia" w:ascii="宋体" w:hAnsi="宋体" w:eastAsia="宋体" w:cs="宋体"/>
          <w:i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财政部 税务总局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2022年3月2日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017DF"/>
    <w:rsid w:val="651E13F5"/>
    <w:rsid w:val="6E240849"/>
    <w:rsid w:val="7D73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2022-03-05T22:07:00Z</dcterms:created>
  <dc:creator>fzr</dc:creator>
  <cp:lastModifiedBy>默默</cp:lastModifiedBy>
  <dcterms:modified xsi:type="dcterms:W3CDTF">2022-03-05T23:14:31Z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