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i w:val="0"/>
          <w:caps w:val="0"/>
          <w:color w:val="C55A11" w:themeColor="accent2" w:themeShade="BF"/>
          <w:spacing w:val="0"/>
          <w:sz w:val="44"/>
          <w:szCs w:val="44"/>
          <w:shd w:val="clear" w:fill="FFFFFF"/>
        </w:rPr>
      </w:pPr>
      <w:bookmarkStart w:id="0" w:name="_GoBack"/>
      <w:r>
        <w:rPr>
          <w:rFonts w:hint="eastAsia" w:ascii="宋体" w:hAnsi="宋体" w:eastAsia="宋体" w:cs="宋体"/>
          <w:b/>
          <w:bCs/>
          <w:i w:val="0"/>
          <w:caps w:val="0"/>
          <w:color w:val="C55A11" w:themeColor="accent2" w:themeShade="BF"/>
          <w:spacing w:val="0"/>
          <w:sz w:val="44"/>
          <w:szCs w:val="44"/>
          <w:shd w:val="clear" w:fill="FFFFFF"/>
        </w:rPr>
        <w:t>关于加强劳动人事争议仲裁与诉讼衔接机制建设的意见</w:t>
      </w:r>
    </w:p>
    <w:bookmarkEnd w:id="0"/>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"http://ssfb86.com/index/News/detail/newsid/10232.html" </w:instrText>
      </w:r>
      <w:r>
        <w:rPr>
          <w:rFonts w:hint="eastAsia" w:ascii="宋体" w:hAnsi="宋体" w:eastAsia="宋体" w:cs="宋体"/>
          <w:i w:val="0"/>
          <w:caps w:val="0"/>
          <w:color w:val="2F2F2F"/>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人社部发〔2017〕70号</w:t>
      </w:r>
      <w:r>
        <w:rPr>
          <w:rFonts w:hint="eastAsia" w:ascii="宋体" w:hAnsi="宋体" w:eastAsia="宋体" w:cs="宋体"/>
          <w:i w:val="0"/>
          <w:caps w:val="0"/>
          <w:color w:val="2F2F2F"/>
          <w:spacing w:val="0"/>
          <w:sz w:val="24"/>
          <w:szCs w:val="2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各省、自治区、直辖市人力资源社会保障厅（局）、高级人民法院，解放军军事法院，新疆生产建设兵团人力资源社会保障局、新疆维吾尔自治区高级人民法院生产建设兵团分院：</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加强劳动人事争议仲裁与诉讼衔接（以下简称裁审衔接）机制建设，是健全劳动人事争议处理制度、完善矛盾纠纷多元化解机制的重要举措。近年来，一些地区积极探索加强裁审衔接工作，促进了劳动人事争议合法公正及时解决，收到了良好的法律效果和社会效果。但是，从全国来看，劳动人事争议裁审衔接机制还没有在各地区普遍建立，已建立的也还不够完善，裁审工作中仍然存在争议受理范围不够一致、法律适用标准不够统一、程序衔接不够规范等问题，影响了争议处理质量和效率，降低了仲裁和司法的公信力。为进一步加强劳动人事争议裁审衔接机制建设，现提出如下意见。</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val="en-US" w:eastAsia="zh-CN"/>
        </w:rPr>
      </w:pPr>
      <w:r>
        <w:rPr>
          <w:rFonts w:hint="eastAsia"/>
          <w:sz w:val="24"/>
          <w:szCs w:val="24"/>
          <w:lang w:val="en-US" w:eastAsia="zh-CN"/>
        </w:rPr>
        <w:t>一、明确加强裁审衔接机制建设的总体要求</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做好裁审衔接工作，要全面贯彻党的十九大和十九届一中全会精神，以习近平新时代中国特色社会主义思想为指导，坚持以人民为中心的发展思想，切实落实深化依法治国实践以及提高保障和改善民生水平、加强和创新社会治理的决策部署，按照《中共中央 国务院关于构建和谐劳动关系的意见》（中发〔2015〕10号）、《中共中央办公厅 国务院办公厅关于完善矛盾纠纷多元化解机制的意见》（中办发〔2015〕60号）有关要求，积极探究和把握裁审衔接工作规律，逐步建立健全裁审受理范围一致、裁审标准统一、裁审程序有效衔接的新规则新制度，实现裁审衔接工作机制完善、运转顺畅，充分发挥劳动人事争议处理中仲裁的独特优势和司法的引领、推动、保障作用，合力化解矛盾纠纷，切实维护当事人合法权益，促进劳动人事关系和谐与社会稳定。</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二、统一裁审受理范围和法律适用标准</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（一）逐步统一裁审受理范围。各地劳动人事争议仲裁委员会（以下简称仲裁委员会）和人民法院要按照《</w:t>
      </w:r>
      <w:r>
        <w:rPr>
          <w:rFonts w:hint="eastAsia" w:ascii="宋体" w:hAnsi="宋体" w:eastAsia="宋体" w:cs="宋体"/>
          <w:i w:val="0"/>
          <w:caps w:val="0"/>
          <w:color w:val="2F2F2F"/>
          <w:spacing w:val="0"/>
          <w:kern w:val="0"/>
          <w:sz w:val="24"/>
          <w:szCs w:val="24"/>
          <w:shd w:val="clear" w:fill="FFFFFF"/>
          <w:lang w:val="en-US" w:eastAsia="zh-CN" w:bidi="ar"/>
        </w:rPr>
        <w:fldChar w:fldCharType="begin"/>
      </w:r>
      <w:r>
        <w:rPr>
          <w:rFonts w:hint="eastAsia" w:ascii="宋体" w:hAnsi="宋体" w:eastAsia="宋体" w:cs="宋体"/>
          <w:i w:val="0"/>
          <w:caps w:val="0"/>
          <w:color w:val="2F2F2F"/>
          <w:spacing w:val="0"/>
          <w:kern w:val="0"/>
          <w:sz w:val="24"/>
          <w:szCs w:val="24"/>
          <w:shd w:val="clear" w:fill="FFFFFF"/>
          <w:lang w:val="en-US" w:eastAsia="zh-CN" w:bidi="ar"/>
        </w:rPr>
        <w:instrText xml:space="preserve"> HYPERLINK "http://ssfb86.com/index/News/detail/newsid/8925.html" </w:instrText>
      </w:r>
      <w:r>
        <w:rPr>
          <w:rFonts w:hint="eastAsia" w:ascii="宋体" w:hAnsi="宋体" w:eastAsia="宋体" w:cs="宋体"/>
          <w:i w:val="0"/>
          <w:caps w:val="0"/>
          <w:color w:val="2F2F2F"/>
          <w:spacing w:val="0"/>
          <w:kern w:val="0"/>
          <w:sz w:val="24"/>
          <w:szCs w:val="24"/>
          <w:shd w:val="clear" w:fill="FFFFFF"/>
          <w:lang w:val="en-US" w:eastAsia="zh-CN" w:bidi="ar"/>
        </w:rPr>
        <w:fldChar w:fldCharType="separate"/>
      </w:r>
      <w:r>
        <w:rPr>
          <w:rStyle w:val="6"/>
          <w:rFonts w:hint="eastAsia" w:ascii="宋体" w:hAnsi="宋体" w:eastAsia="宋体" w:cs="宋体"/>
          <w:i w:val="0"/>
          <w:caps w:val="0"/>
          <w:color w:val="2F2F2F"/>
          <w:spacing w:val="0"/>
          <w:kern w:val="0"/>
          <w:sz w:val="24"/>
          <w:szCs w:val="24"/>
          <w:shd w:val="clear" w:fill="FFFFFF"/>
          <w:lang w:val="en-US" w:eastAsia="zh-CN" w:bidi="ar"/>
        </w:rPr>
        <w:t>中华人民共和国劳动争议调解仲裁法</w:t>
      </w:r>
      <w:r>
        <w:rPr>
          <w:rFonts w:hint="eastAsia" w:ascii="宋体" w:hAnsi="宋体" w:eastAsia="宋体" w:cs="宋体"/>
          <w:i w:val="0"/>
          <w:caps w:val="0"/>
          <w:color w:val="2F2F2F"/>
          <w:spacing w:val="0"/>
          <w:kern w:val="0"/>
          <w:sz w:val="24"/>
          <w:szCs w:val="24"/>
          <w:shd w:val="clear" w:fill="FFFFFF"/>
          <w:lang w:val="en-US" w:eastAsia="zh-CN" w:bidi="ar"/>
        </w:rPr>
        <w:fldChar w:fldCharType="end"/>
      </w:r>
      <w:r>
        <w:rPr>
          <w:rFonts w:hint="eastAsia" w:ascii="宋体" w:hAnsi="宋体" w:eastAsia="宋体" w:cs="宋体"/>
          <w:i w:val="0"/>
          <w:caps w:val="0"/>
          <w:color w:val="2F2F2F"/>
          <w:spacing w:val="0"/>
          <w:kern w:val="0"/>
          <w:sz w:val="24"/>
          <w:szCs w:val="24"/>
          <w:shd w:val="clear" w:fill="FFFFFF"/>
          <w:lang w:val="en-US" w:eastAsia="zh-CN" w:bidi="ar"/>
        </w:rPr>
        <w:t>》等法律规定，逐步统一社会保险争议、人事争议等争议的受理范围。仲裁委员会要改进完善劳动人事争议受理立案制度，依法做到</w:t>
      </w:r>
      <w:r>
        <w:rPr>
          <w:rFonts w:hint="eastAsia" w:ascii="宋体" w:hAnsi="宋体" w:eastAsia="宋体" w:cs="宋体"/>
          <w:i w:val="0"/>
          <w:caps w:val="0"/>
          <w:color w:val="C55A11" w:themeColor="accent2" w:themeShade="BF"/>
          <w:spacing w:val="0"/>
          <w:kern w:val="0"/>
          <w:sz w:val="24"/>
          <w:szCs w:val="24"/>
          <w:shd w:val="clear" w:fill="FFFFFF"/>
          <w:lang w:val="en-US" w:eastAsia="zh-CN" w:bidi="ar"/>
        </w:rPr>
        <w:t>有案必立</w:t>
      </w:r>
      <w:r>
        <w:rPr>
          <w:rFonts w:hint="eastAsia" w:ascii="宋体" w:hAnsi="宋体" w:eastAsia="宋体" w:cs="宋体"/>
          <w:i w:val="0"/>
          <w:caps w:val="0"/>
          <w:color w:val="2F2F2F"/>
          <w:spacing w:val="0"/>
          <w:kern w:val="0"/>
          <w:sz w:val="24"/>
          <w:szCs w:val="24"/>
          <w:shd w:val="clear" w:fill="FFFFFF"/>
          <w:lang w:val="en-US" w:eastAsia="zh-CN" w:bidi="ar"/>
        </w:rPr>
        <w:t>，有条件的可探索实行立案登记制，切实发挥仲裁前置的功能作用。</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二）逐步统一裁审法律适用标准。各地仲裁委员会和人民法院要严格按照法律规定处理劳动人事争议。对于法律规定不明确等原因造成裁审法律适用标准不一致的突出问题，由人力资源社会保障部与最高人民法院按照《</w:t>
      </w:r>
      <w:r>
        <w:rPr>
          <w:rFonts w:hint="eastAsia" w:ascii="宋体" w:hAnsi="宋体" w:eastAsia="宋体" w:cs="宋体"/>
          <w:i w:val="0"/>
          <w:caps w:val="0"/>
          <w:color w:val="2F2F2F"/>
          <w:spacing w:val="0"/>
          <w:kern w:val="0"/>
          <w:sz w:val="24"/>
          <w:szCs w:val="24"/>
          <w:shd w:val="clear" w:fill="FFFFFF"/>
          <w:lang w:val="en-US" w:eastAsia="zh-CN" w:bidi="ar"/>
        </w:rPr>
        <w:fldChar w:fldCharType="begin"/>
      </w:r>
      <w:r>
        <w:rPr>
          <w:rFonts w:hint="eastAsia" w:ascii="宋体" w:hAnsi="宋体" w:eastAsia="宋体" w:cs="宋体"/>
          <w:i w:val="0"/>
          <w:caps w:val="0"/>
          <w:color w:val="2F2F2F"/>
          <w:spacing w:val="0"/>
          <w:kern w:val="0"/>
          <w:sz w:val="24"/>
          <w:szCs w:val="24"/>
          <w:shd w:val="clear" w:fill="FFFFFF"/>
          <w:lang w:val="en-US" w:eastAsia="zh-CN" w:bidi="ar"/>
        </w:rPr>
        <w:instrText xml:space="preserve"> HYPERLINK "http://ssfb86.com/index/News/detail/newsid/7366.html" </w:instrText>
      </w:r>
      <w:r>
        <w:rPr>
          <w:rFonts w:hint="eastAsia" w:ascii="宋体" w:hAnsi="宋体" w:eastAsia="宋体" w:cs="宋体"/>
          <w:i w:val="0"/>
          <w:caps w:val="0"/>
          <w:color w:val="2F2F2F"/>
          <w:spacing w:val="0"/>
          <w:kern w:val="0"/>
          <w:sz w:val="24"/>
          <w:szCs w:val="24"/>
          <w:shd w:val="clear" w:fill="FFFFFF"/>
          <w:lang w:val="en-US" w:eastAsia="zh-CN" w:bidi="ar"/>
        </w:rPr>
        <w:fldChar w:fldCharType="separate"/>
      </w:r>
      <w:r>
        <w:rPr>
          <w:rStyle w:val="6"/>
          <w:rFonts w:hint="eastAsia" w:ascii="宋体" w:hAnsi="宋体" w:eastAsia="宋体" w:cs="宋体"/>
          <w:i w:val="0"/>
          <w:caps w:val="0"/>
          <w:color w:val="2F2F2F"/>
          <w:spacing w:val="0"/>
          <w:kern w:val="0"/>
          <w:sz w:val="24"/>
          <w:szCs w:val="24"/>
          <w:shd w:val="clear" w:fill="FFFFFF"/>
          <w:lang w:val="en-US" w:eastAsia="zh-CN" w:bidi="ar"/>
        </w:rPr>
        <w:t>中华人民共和国立法法</w:t>
      </w:r>
      <w:r>
        <w:rPr>
          <w:rFonts w:hint="eastAsia" w:ascii="宋体" w:hAnsi="宋体" w:eastAsia="宋体" w:cs="宋体"/>
          <w:i w:val="0"/>
          <w:caps w:val="0"/>
          <w:color w:val="2F2F2F"/>
          <w:spacing w:val="0"/>
          <w:kern w:val="0"/>
          <w:sz w:val="24"/>
          <w:szCs w:val="24"/>
          <w:shd w:val="clear" w:fill="FFFFFF"/>
          <w:lang w:val="en-US" w:eastAsia="zh-CN" w:bidi="ar"/>
        </w:rPr>
        <w:fldChar w:fldCharType="end"/>
      </w:r>
      <w:r>
        <w:rPr>
          <w:rFonts w:hint="eastAsia" w:ascii="宋体" w:hAnsi="宋体" w:eastAsia="宋体" w:cs="宋体"/>
          <w:i w:val="0"/>
          <w:caps w:val="0"/>
          <w:color w:val="2F2F2F"/>
          <w:spacing w:val="0"/>
          <w:kern w:val="0"/>
          <w:sz w:val="24"/>
          <w:szCs w:val="24"/>
          <w:shd w:val="clear" w:fill="FFFFFF"/>
          <w:lang w:val="en-US" w:eastAsia="zh-CN" w:bidi="ar"/>
        </w:rPr>
        <w:t>》有关规定，通过制定司法解释或指导意见等形式明确统一的法律适用标准。省、自治区、直辖市人力资源社会保障部门与高级人民法院要结合裁审工作实际，加强对法律适用问题的调查研究，及时提出意见建议。</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三、规范裁审程序衔接</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（一）规范受理程序衔接。</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b/>
          <w:bCs/>
          <w:i w:val="0"/>
          <w:caps w:val="0"/>
          <w:color w:val="C55A11" w:themeColor="accent2" w:themeShade="BF"/>
          <w:spacing w:val="0"/>
          <w:kern w:val="0"/>
          <w:sz w:val="24"/>
          <w:szCs w:val="24"/>
          <w:shd w:val="clear" w:fill="FFFFFF"/>
          <w:lang w:val="en-US" w:eastAsia="zh-CN" w:bidi="ar"/>
        </w:rPr>
        <w:t>对未经仲裁程序直接起诉到人民法院的劳动人事争议案件，人民法院应裁定不予受理；对已受理的，应驳回起诉，并告知当事人向有管辖权的仲裁委员会申请仲裁</w:t>
      </w:r>
      <w:r>
        <w:rPr>
          <w:rFonts w:hint="eastAsia" w:ascii="宋体" w:hAnsi="宋体" w:eastAsia="宋体" w:cs="宋体"/>
          <w:i w:val="0"/>
          <w:caps w:val="0"/>
          <w:color w:val="2F2F2F"/>
          <w:spacing w:val="0"/>
          <w:kern w:val="0"/>
          <w:sz w:val="24"/>
          <w:szCs w:val="24"/>
          <w:shd w:val="clear" w:fill="FFFFFF"/>
          <w:lang w:val="en-US" w:eastAsia="zh-CN" w:bidi="ar"/>
        </w:rPr>
        <w:t>。当事人因仲裁委员会</w:t>
      </w:r>
      <w:r>
        <w:rPr>
          <w:rFonts w:hint="eastAsia" w:ascii="宋体" w:hAnsi="宋体" w:eastAsia="宋体" w:cs="宋体"/>
          <w:i w:val="0"/>
          <w:caps w:val="0"/>
          <w:color w:val="C55A11" w:themeColor="accent2" w:themeShade="BF"/>
          <w:spacing w:val="0"/>
          <w:kern w:val="0"/>
          <w:sz w:val="24"/>
          <w:szCs w:val="24"/>
          <w:shd w:val="clear" w:fill="FFFFFF"/>
          <w:lang w:val="en-US" w:eastAsia="zh-CN" w:bidi="ar"/>
        </w:rPr>
        <w:t>逾期未作出仲裁裁决而向人民法院提起诉讼且人民法院立案受理的，人民法院应及时将该案的受理情况告知仲裁委员会，仲裁委员会应及时决定该案件终止审理</w:t>
      </w:r>
      <w:r>
        <w:rPr>
          <w:rFonts w:hint="eastAsia" w:ascii="宋体" w:hAnsi="宋体" w:eastAsia="宋体" w:cs="宋体"/>
          <w:i w:val="0"/>
          <w:caps w:val="0"/>
          <w:color w:val="2F2F2F"/>
          <w:spacing w:val="0"/>
          <w:kern w:val="0"/>
          <w:sz w:val="24"/>
          <w:szCs w:val="24"/>
          <w:shd w:val="clear" w:fill="FFFFFF"/>
          <w:lang w:val="en-US" w:eastAsia="zh-CN" w:bidi="ar"/>
        </w:rPr>
        <w:t>。</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（二）规范保全程序衔接。</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仲裁委员会</w:t>
      </w:r>
      <w:r>
        <w:rPr>
          <w:rFonts w:hint="eastAsia" w:ascii="宋体" w:hAnsi="宋体" w:eastAsia="宋体" w:cs="宋体"/>
          <w:b/>
          <w:bCs/>
          <w:i w:val="0"/>
          <w:caps w:val="0"/>
          <w:color w:val="C55A11" w:themeColor="accent2" w:themeShade="BF"/>
          <w:spacing w:val="0"/>
          <w:kern w:val="0"/>
          <w:sz w:val="24"/>
          <w:szCs w:val="24"/>
          <w:shd w:val="clear" w:fill="FFFFFF"/>
          <w:lang w:val="en-US" w:eastAsia="zh-CN" w:bidi="ar"/>
        </w:rPr>
        <w:t>对在仲裁阶段可能因用人单位转移、藏匿财产等行为致使裁决难以执行的，应告知劳动者通过仲裁机构向人民法院申请保全</w:t>
      </w:r>
      <w:r>
        <w:rPr>
          <w:rFonts w:hint="eastAsia" w:ascii="宋体" w:hAnsi="宋体" w:eastAsia="宋体" w:cs="宋体"/>
          <w:i w:val="0"/>
          <w:caps w:val="0"/>
          <w:color w:val="2F2F2F"/>
          <w:spacing w:val="0"/>
          <w:kern w:val="0"/>
          <w:sz w:val="24"/>
          <w:szCs w:val="24"/>
          <w:shd w:val="clear" w:fill="FFFFFF"/>
          <w:lang w:val="en-US" w:eastAsia="zh-CN" w:bidi="ar"/>
        </w:rPr>
        <w:t>。劳动者申请保全的，仲裁委员会应及时向人民法院转交申请书及仲裁案件受理通知书等相关材料。人民</w:t>
      </w:r>
      <w:r>
        <w:rPr>
          <w:rFonts w:hint="eastAsia" w:ascii="宋体" w:hAnsi="宋体" w:eastAsia="宋体" w:cs="宋体"/>
          <w:i w:val="0"/>
          <w:caps w:val="0"/>
          <w:color w:val="C55A11" w:themeColor="accent2" w:themeShade="BF"/>
          <w:spacing w:val="0"/>
          <w:kern w:val="0"/>
          <w:sz w:val="24"/>
          <w:szCs w:val="24"/>
          <w:shd w:val="clear" w:fill="FFFFFF"/>
          <w:lang w:val="en-US" w:eastAsia="zh-CN" w:bidi="ar"/>
        </w:rPr>
        <w:t>法院裁定采取保全措施或者裁定驳回申请的，应将裁定书送达申请人，并通知仲裁委员会</w:t>
      </w:r>
      <w:r>
        <w:rPr>
          <w:rFonts w:hint="eastAsia" w:ascii="宋体" w:hAnsi="宋体" w:eastAsia="宋体" w:cs="宋体"/>
          <w:i w:val="0"/>
          <w:caps w:val="0"/>
          <w:color w:val="2F2F2F"/>
          <w:spacing w:val="0"/>
          <w:kern w:val="0"/>
          <w:sz w:val="24"/>
          <w:szCs w:val="24"/>
          <w:shd w:val="clear" w:fill="FFFFFF"/>
          <w:lang w:val="en-US" w:eastAsia="zh-CN" w:bidi="ar"/>
        </w:rPr>
        <w:t>。</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（三）规范执行程序衔接。</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C55A11" w:themeColor="accent2" w:themeShade="BF"/>
          <w:spacing w:val="0"/>
          <w:kern w:val="0"/>
          <w:sz w:val="24"/>
          <w:szCs w:val="24"/>
          <w:shd w:val="clear" w:fill="FFFFFF"/>
          <w:lang w:val="en-US" w:eastAsia="zh-CN" w:bidi="ar"/>
        </w:rPr>
        <w:t>仲裁委员会依法裁决先予执行的，应向有执行权的人民法院移送先予执行裁决书</w:t>
      </w:r>
      <w:r>
        <w:rPr>
          <w:rFonts w:hint="eastAsia" w:ascii="宋体" w:hAnsi="宋体" w:eastAsia="宋体" w:cs="宋体"/>
          <w:i w:val="0"/>
          <w:caps w:val="0"/>
          <w:color w:val="2F2F2F"/>
          <w:spacing w:val="0"/>
          <w:kern w:val="0"/>
          <w:sz w:val="24"/>
          <w:szCs w:val="24"/>
          <w:shd w:val="clear" w:fill="FFFFFF"/>
          <w:lang w:val="en-US" w:eastAsia="zh-CN" w:bidi="ar"/>
        </w:rPr>
        <w:t>、裁决书的送达回证或其他送达证明材料；接受移送的人民法院应按照《</w:t>
      </w:r>
      <w:r>
        <w:rPr>
          <w:rFonts w:hint="eastAsia" w:ascii="宋体" w:hAnsi="宋体" w:eastAsia="宋体" w:cs="宋体"/>
          <w:i w:val="0"/>
          <w:caps w:val="0"/>
          <w:color w:val="2F2F2F"/>
          <w:spacing w:val="0"/>
          <w:kern w:val="0"/>
          <w:sz w:val="24"/>
          <w:szCs w:val="24"/>
          <w:shd w:val="clear" w:fill="FFFFFF"/>
          <w:lang w:val="en-US" w:eastAsia="zh-CN" w:bidi="ar"/>
        </w:rPr>
        <w:fldChar w:fldCharType="begin"/>
      </w:r>
      <w:r>
        <w:rPr>
          <w:rFonts w:hint="eastAsia" w:ascii="宋体" w:hAnsi="宋体" w:eastAsia="宋体" w:cs="宋体"/>
          <w:i w:val="0"/>
          <w:caps w:val="0"/>
          <w:color w:val="2F2F2F"/>
          <w:spacing w:val="0"/>
          <w:kern w:val="0"/>
          <w:sz w:val="24"/>
          <w:szCs w:val="24"/>
          <w:shd w:val="clear" w:fill="FFFFFF"/>
          <w:lang w:val="en-US" w:eastAsia="zh-CN" w:bidi="ar"/>
        </w:rPr>
        <w:instrText xml:space="preserve"> HYPERLINK "http://ssfb86.com/index/News/detail/newsid/8773.html" </w:instrText>
      </w:r>
      <w:r>
        <w:rPr>
          <w:rFonts w:hint="eastAsia" w:ascii="宋体" w:hAnsi="宋体" w:eastAsia="宋体" w:cs="宋体"/>
          <w:i w:val="0"/>
          <w:caps w:val="0"/>
          <w:color w:val="2F2F2F"/>
          <w:spacing w:val="0"/>
          <w:kern w:val="0"/>
          <w:sz w:val="24"/>
          <w:szCs w:val="24"/>
          <w:shd w:val="clear" w:fill="FFFFFF"/>
          <w:lang w:val="en-US" w:eastAsia="zh-CN" w:bidi="ar"/>
        </w:rPr>
        <w:fldChar w:fldCharType="separate"/>
      </w:r>
      <w:r>
        <w:rPr>
          <w:rStyle w:val="6"/>
          <w:rFonts w:hint="eastAsia" w:ascii="宋体" w:hAnsi="宋体" w:eastAsia="宋体" w:cs="宋体"/>
          <w:i w:val="0"/>
          <w:caps w:val="0"/>
          <w:color w:val="2F2F2F"/>
          <w:spacing w:val="0"/>
          <w:kern w:val="0"/>
          <w:sz w:val="24"/>
          <w:szCs w:val="24"/>
          <w:shd w:val="clear" w:fill="FFFFFF"/>
          <w:lang w:val="en-US" w:eastAsia="zh-CN" w:bidi="ar"/>
        </w:rPr>
        <w:t>中华人民共和国民事诉讼法</w:t>
      </w:r>
      <w:r>
        <w:rPr>
          <w:rFonts w:hint="eastAsia" w:ascii="宋体" w:hAnsi="宋体" w:eastAsia="宋体" w:cs="宋体"/>
          <w:i w:val="0"/>
          <w:caps w:val="0"/>
          <w:color w:val="2F2F2F"/>
          <w:spacing w:val="0"/>
          <w:kern w:val="0"/>
          <w:sz w:val="24"/>
          <w:szCs w:val="24"/>
          <w:shd w:val="clear" w:fill="FFFFFF"/>
          <w:lang w:val="en-US" w:eastAsia="zh-CN" w:bidi="ar"/>
        </w:rPr>
        <w:fldChar w:fldCharType="end"/>
      </w:r>
      <w:r>
        <w:rPr>
          <w:rFonts w:hint="eastAsia" w:ascii="宋体" w:hAnsi="宋体" w:eastAsia="宋体" w:cs="宋体"/>
          <w:i w:val="0"/>
          <w:caps w:val="0"/>
          <w:color w:val="2F2F2F"/>
          <w:spacing w:val="0"/>
          <w:kern w:val="0"/>
          <w:sz w:val="24"/>
          <w:szCs w:val="24"/>
          <w:shd w:val="clear" w:fill="FFFFFF"/>
          <w:lang w:val="en-US" w:eastAsia="zh-CN" w:bidi="ar"/>
        </w:rPr>
        <w:t>》和《</w:t>
      </w:r>
      <w:r>
        <w:rPr>
          <w:rFonts w:hint="eastAsia" w:ascii="宋体" w:hAnsi="宋体" w:eastAsia="宋体" w:cs="宋体"/>
          <w:i w:val="0"/>
          <w:caps w:val="0"/>
          <w:color w:val="2F2F2F"/>
          <w:spacing w:val="0"/>
          <w:kern w:val="0"/>
          <w:sz w:val="24"/>
          <w:szCs w:val="24"/>
          <w:shd w:val="clear" w:fill="FFFFFF"/>
          <w:lang w:val="en-US" w:eastAsia="zh-CN" w:bidi="ar"/>
        </w:rPr>
        <w:fldChar w:fldCharType="begin"/>
      </w:r>
      <w:r>
        <w:rPr>
          <w:rFonts w:hint="eastAsia" w:ascii="宋体" w:hAnsi="宋体" w:eastAsia="宋体" w:cs="宋体"/>
          <w:i w:val="0"/>
          <w:caps w:val="0"/>
          <w:color w:val="2F2F2F"/>
          <w:spacing w:val="0"/>
          <w:kern w:val="0"/>
          <w:sz w:val="24"/>
          <w:szCs w:val="24"/>
          <w:shd w:val="clear" w:fill="FFFFFF"/>
          <w:lang w:val="en-US" w:eastAsia="zh-CN" w:bidi="ar"/>
        </w:rPr>
        <w:instrText xml:space="preserve"> HYPERLINK "http://ssfb86.com/index/News/detail/newsid/8925.html" </w:instrText>
      </w:r>
      <w:r>
        <w:rPr>
          <w:rFonts w:hint="eastAsia" w:ascii="宋体" w:hAnsi="宋体" w:eastAsia="宋体" w:cs="宋体"/>
          <w:i w:val="0"/>
          <w:caps w:val="0"/>
          <w:color w:val="2F2F2F"/>
          <w:spacing w:val="0"/>
          <w:kern w:val="0"/>
          <w:sz w:val="24"/>
          <w:szCs w:val="24"/>
          <w:shd w:val="clear" w:fill="FFFFFF"/>
          <w:lang w:val="en-US" w:eastAsia="zh-CN" w:bidi="ar"/>
        </w:rPr>
        <w:fldChar w:fldCharType="separate"/>
      </w:r>
      <w:r>
        <w:rPr>
          <w:rStyle w:val="6"/>
          <w:rFonts w:hint="eastAsia" w:ascii="宋体" w:hAnsi="宋体" w:eastAsia="宋体" w:cs="宋体"/>
          <w:i w:val="0"/>
          <w:caps w:val="0"/>
          <w:color w:val="2F2F2F"/>
          <w:spacing w:val="0"/>
          <w:kern w:val="0"/>
          <w:sz w:val="24"/>
          <w:szCs w:val="24"/>
          <w:shd w:val="clear" w:fill="FFFFFF"/>
          <w:lang w:val="en-US" w:eastAsia="zh-CN" w:bidi="ar"/>
        </w:rPr>
        <w:t>中华人民共和国劳动争议调解仲裁法</w:t>
      </w:r>
      <w:r>
        <w:rPr>
          <w:rFonts w:hint="eastAsia" w:ascii="宋体" w:hAnsi="宋体" w:eastAsia="宋体" w:cs="宋体"/>
          <w:i w:val="0"/>
          <w:caps w:val="0"/>
          <w:color w:val="2F2F2F"/>
          <w:spacing w:val="0"/>
          <w:kern w:val="0"/>
          <w:sz w:val="24"/>
          <w:szCs w:val="24"/>
          <w:shd w:val="clear" w:fill="FFFFFF"/>
          <w:lang w:val="en-US" w:eastAsia="zh-CN" w:bidi="ar"/>
        </w:rPr>
        <w:fldChar w:fldCharType="end"/>
      </w:r>
      <w:r>
        <w:rPr>
          <w:rFonts w:hint="eastAsia" w:ascii="宋体" w:hAnsi="宋体" w:eastAsia="宋体" w:cs="宋体"/>
          <w:i w:val="0"/>
          <w:caps w:val="0"/>
          <w:color w:val="2F2F2F"/>
          <w:spacing w:val="0"/>
          <w:kern w:val="0"/>
          <w:sz w:val="24"/>
          <w:szCs w:val="24"/>
          <w:shd w:val="clear" w:fill="FFFFFF"/>
          <w:lang w:val="en-US" w:eastAsia="zh-CN" w:bidi="ar"/>
        </w:rPr>
        <w:t>》相关规定执行。人民法院要加强对仲裁委员会裁决书、调解书的执行工作，加大对涉及劳动报酬、工伤保险待遇争议特别是集体劳动人事争议等案件的执行力度。</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四、完善裁审衔接工作机制</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（一）建立联席会议制度。</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各地人力资源社会保障部门和人民法院要定期或不定期召开联席会议，共同研究分析劳动人事争议处理形势，互相通报工作情况，沟通协调争议仲裁与诉讼中的受理范围、程序衔接、法律适用标准等问题，推进裁审工作有效衔接。</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kern w:val="0"/>
          <w:sz w:val="24"/>
          <w:szCs w:val="24"/>
          <w:shd w:val="clear" w:fill="FFFFFF"/>
          <w:lang w:val="en-US" w:eastAsia="zh-CN" w:bidi="ar"/>
        </w:rPr>
      </w:pPr>
      <w:r>
        <w:rPr>
          <w:rFonts w:hint="eastAsia" w:ascii="宋体" w:hAnsi="宋体" w:eastAsia="宋体" w:cs="宋体"/>
          <w:b/>
          <w:i w:val="0"/>
          <w:caps w:val="0"/>
          <w:color w:val="2F2F2F"/>
          <w:spacing w:val="0"/>
          <w:kern w:val="0"/>
          <w:sz w:val="24"/>
          <w:szCs w:val="24"/>
          <w:shd w:val="clear" w:fill="FFFFFF"/>
          <w:lang w:val="en-US" w:eastAsia="zh-CN" w:bidi="ar"/>
        </w:rPr>
        <w:t>（二）建立信息共享制度。</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各地人力资源社会保障部门和人民法院要加强劳动人事争议处理工作信息和统计数据的交流，实现信息互通和数据共享。人力资源社会保障部门要加强争议案件处理情况追踪，做好裁审对比情况统计分析，不断改进争议仲裁工作，人民法院要积极支持和配合。要建立健全案卷借阅制度，做好案卷借阅管理工作。有条件的地区，可以实行电子案卷借阅或通过信息平台共享电子案卷，并做好信息安全和保密工作。</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kern w:val="0"/>
          <w:sz w:val="24"/>
          <w:szCs w:val="24"/>
          <w:shd w:val="clear" w:fill="FFFFFF"/>
          <w:lang w:val="en-US" w:eastAsia="zh-CN" w:bidi="ar"/>
        </w:rPr>
      </w:pPr>
      <w:r>
        <w:rPr>
          <w:rFonts w:hint="eastAsia" w:ascii="宋体" w:hAnsi="宋体" w:eastAsia="宋体" w:cs="宋体"/>
          <w:b/>
          <w:i w:val="0"/>
          <w:caps w:val="0"/>
          <w:color w:val="2F2F2F"/>
          <w:spacing w:val="0"/>
          <w:kern w:val="0"/>
          <w:sz w:val="24"/>
          <w:szCs w:val="24"/>
          <w:shd w:val="clear" w:fill="FFFFFF"/>
          <w:lang w:val="en-US" w:eastAsia="zh-CN" w:bidi="ar"/>
        </w:rPr>
        <w:t>（三）建立疑难复杂案件办案指导制度。</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各地仲裁委员会和人民法院要加强对疑难复杂、重大劳动人事争议案件的研讨和交流，开展类案分析，联合筛选并发布典型案例，充分发挥典型案例在统一裁审法律适用标准、规范裁审自由裁量尺度、服务争议当事人等方面的指导作用。</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kern w:val="0"/>
          <w:sz w:val="24"/>
          <w:szCs w:val="24"/>
          <w:shd w:val="clear" w:fill="FFFFFF"/>
          <w:lang w:val="en-US" w:eastAsia="zh-CN" w:bidi="ar"/>
        </w:rPr>
      </w:pPr>
      <w:r>
        <w:rPr>
          <w:rFonts w:hint="eastAsia" w:ascii="宋体" w:hAnsi="宋体" w:eastAsia="宋体" w:cs="宋体"/>
          <w:b/>
          <w:i w:val="0"/>
          <w:caps w:val="0"/>
          <w:color w:val="2F2F2F"/>
          <w:spacing w:val="0"/>
          <w:kern w:val="0"/>
          <w:sz w:val="24"/>
          <w:szCs w:val="24"/>
          <w:shd w:val="clear" w:fill="FFFFFF"/>
          <w:lang w:val="en-US" w:eastAsia="zh-CN" w:bidi="ar"/>
        </w:rPr>
        <w:t>（四）建立联合培训制度。</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各地人力资源社会保障部门和人民法院要通过举办师资培训、远程在线培训、庭审观摩等方式，联合开展业务培训，增强办案人员的素质和能力，促进提高裁审衔接水平。</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五、加强组织领导</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各地人力资源社会保障部门和人民法院要高度重视加强劳动人事争议裁审衔接机制建设工作，将其作为推进建立中国特色劳动人事争议处理制度的重要措施，纳入劳动人事关系领域矛盾纠纷多元处理工作布局，加强领导，统筹谋划，结合当地实际联合制定实施意见，切实抓好贯彻落实。人力资源社会保障部门要积极主动加强与人民法院的沟通协调。人民法院要明确由一个庭室统一负责裁审衔接工作，各有关庭室要积极参与配合。省、自治区、直辖市人力资源社会保障部门、高级人民法院要加强对市、县裁审衔接工作的指导和督促检查，推动裁审衔接工作顺利开展。要加大政策引导和宣传力度，增进劳动人事争议当事人和社会公众对裁审衔接工作的了解，引导当事人依法理性维权，为合法公正及时处理争议营造良好氛围。</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　　人力资源社会保障部</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　　最高人民法院</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i w:val="0"/>
          <w:caps w:val="0"/>
          <w:color w:val="2F2F2F"/>
          <w:spacing w:val="0"/>
          <w:kern w:val="0"/>
          <w:sz w:val="24"/>
          <w:szCs w:val="24"/>
          <w:shd w:val="clear" w:fill="FFFFFF"/>
          <w:lang w:val="en-US" w:eastAsia="zh-CN" w:bidi="ar"/>
        </w:rPr>
      </w:pPr>
      <w:r>
        <w:rPr>
          <w:rFonts w:hint="eastAsia" w:ascii="宋体" w:hAnsi="宋体" w:eastAsia="宋体" w:cs="宋体"/>
          <w:i w:val="0"/>
          <w:caps w:val="0"/>
          <w:color w:val="2F2F2F"/>
          <w:spacing w:val="0"/>
          <w:kern w:val="0"/>
          <w:sz w:val="24"/>
          <w:szCs w:val="24"/>
          <w:shd w:val="clear" w:fill="FFFFFF"/>
          <w:lang w:val="en-US" w:eastAsia="zh-CN" w:bidi="ar"/>
        </w:rPr>
        <w:t>　　2017年11月8日</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i w:val="0"/>
          <w:caps w:val="0"/>
          <w:color w:val="2F2F2F"/>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A5108"/>
    <w:rsid w:val="5EC3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2022-03-07T22:34:07Z</dcterms:created>
  <dc:creator>fzr</dc:creator>
  <cp:lastModifiedBy>默默</cp:lastModifiedBy>
  <dcterms:modified xsi:type="dcterms:W3CDTF">2022-03-07T22:53:35Z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