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Style w:val="7"/>
          <w:rFonts w:hint="eastAsia" w:ascii="宋体" w:hAnsi="宋体" w:eastAsia="宋体" w:cs="宋体"/>
          <w:i w:val="0"/>
          <w:caps w:val="0"/>
          <w:color w:val="C55A11" w:themeColor="accent2" w:themeShade="BF"/>
          <w:spacing w:val="0"/>
          <w:sz w:val="44"/>
          <w:szCs w:val="44"/>
          <w:bdr w:val="none" w:color="auto" w:sz="0" w:space="0"/>
          <w:shd w:val="clear" w:fill="FFFFFF"/>
        </w:rPr>
      </w:pPr>
      <w:r>
        <w:rPr>
          <w:rStyle w:val="7"/>
          <w:rFonts w:hint="eastAsia" w:ascii="宋体" w:hAnsi="宋体" w:eastAsia="宋体" w:cs="宋体"/>
          <w:i w:val="0"/>
          <w:caps w:val="0"/>
          <w:color w:val="C55A11" w:themeColor="accent2" w:themeShade="BF"/>
          <w:spacing w:val="0"/>
          <w:sz w:val="44"/>
          <w:szCs w:val="44"/>
          <w:bdr w:val="none" w:color="auto" w:sz="0" w:space="0"/>
          <w:shd w:val="clear" w:fill="FFFFFF"/>
        </w:rPr>
        <w:t>关于加强人身安全保护令制度贯彻实施的意见</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Style w:val="7"/>
          <w:rFonts w:hint="eastAsia" w:ascii="宋体" w:hAnsi="宋体" w:eastAsia="宋体" w:cs="宋体"/>
          <w:i w:val="0"/>
          <w:caps w:val="0"/>
          <w:color w:val="2F2F2F"/>
          <w:spacing w:val="0"/>
          <w:sz w:val="24"/>
          <w:szCs w:val="24"/>
          <w:bdr w:val="none" w:color="auto" w:sz="0" w:space="0"/>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"http://ssfb86.com/index/News/detail/newsid/10235.html" </w:instrText>
      </w:r>
      <w:r>
        <w:rPr>
          <w:rFonts w:hint="eastAsia" w:ascii="宋体" w:hAnsi="宋体" w:eastAsia="宋体" w:cs="宋体"/>
          <w:i w:val="0"/>
          <w:caps w:val="0"/>
          <w:color w:val="2F2F2F"/>
          <w:spacing w:val="0"/>
          <w:sz w:val="24"/>
          <w:szCs w:val="24"/>
          <w:shd w:val="clear" w:fill="FFFFFF"/>
        </w:rPr>
        <w:fldChar w:fldCharType="separate"/>
      </w:r>
      <w:r>
        <w:rPr>
          <w:rStyle w:val="8"/>
          <w:rFonts w:hint="eastAsia" w:ascii="宋体" w:hAnsi="宋体" w:eastAsia="宋体" w:cs="宋体"/>
          <w:i w:val="0"/>
          <w:caps w:val="0"/>
          <w:spacing w:val="0"/>
          <w:sz w:val="24"/>
          <w:szCs w:val="24"/>
          <w:shd w:val="clear" w:fill="FFFFFF"/>
        </w:rPr>
        <w:t>法发〔2022〕10号</w:t>
      </w:r>
      <w:r>
        <w:rPr>
          <w:rFonts w:hint="eastAsia" w:ascii="宋体" w:hAnsi="宋体" w:eastAsia="宋体" w:cs="宋体"/>
          <w:i w:val="0"/>
          <w:caps w:val="0"/>
          <w:color w:val="2F2F2F"/>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楷体" w:hAnsi="楷体" w:eastAsia="楷体" w:cs="楷体"/>
          <w:i w:val="0"/>
          <w:caps w:val="0"/>
          <w:color w:val="0070C0"/>
          <w:spacing w:val="0"/>
          <w:sz w:val="24"/>
          <w:szCs w:val="24"/>
          <w:bdr w:val="none" w:color="auto" w:sz="0" w:space="0"/>
          <w:shd w:val="clear" w:fill="FFFFFF"/>
          <w:lang w:eastAsia="zh-CN"/>
        </w:rPr>
      </w:pPr>
      <w:r>
        <w:rPr>
          <w:rFonts w:hint="eastAsia" w:ascii="楷体" w:hAnsi="楷体" w:eastAsia="楷体" w:cs="楷体"/>
          <w:i w:val="0"/>
          <w:caps w:val="0"/>
          <w:color w:val="0070C0"/>
          <w:spacing w:val="0"/>
          <w:sz w:val="24"/>
          <w:szCs w:val="24"/>
          <w:bdr w:val="none" w:color="auto" w:sz="0" w:space="0"/>
          <w:shd w:val="clear" w:fill="FFFFFF"/>
          <w:lang w:eastAsia="zh-CN"/>
        </w:rPr>
        <w:t>【提示：本意见出台的前段时间，出现了江苏丰县的“鳇链女”事件……】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楷体" w:hAnsi="楷体" w:eastAsia="楷体" w:cs="楷体"/>
          <w:i w:val="0"/>
          <w:caps w:val="0"/>
          <w:color w:val="0070C0"/>
          <w:spacing w:val="0"/>
          <w:sz w:val="24"/>
          <w:szCs w:val="24"/>
          <w:bdr w:val="none" w:color="auto" w:sz="0" w:space="0"/>
          <w:shd w:val="clear" w:fill="FFFFFF"/>
          <w:lang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为进一步做好预防和制止家庭暴力工作，依法保护家庭成员特别是妇女、未成年人、老年人、残疾人的合法权益，维护平等、和睦、文明的家庭关系，促进家庭和谐、社会稳定，现就加强人身安全保护令制度贯彻实施提出如下意见：</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坚持以习近平新时代中国特色社会主义思想为指导。深入贯彻习近平法治思想和习近平总书记关于注重家庭家教家风建设的重要论述精神，在家庭中积极培育和践行社会主义核心价值观，涵养优良家风，弘扬家庭美德，最大限度预防和制止家庭暴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二、</w:t>
      </w:r>
      <w:r>
        <w:rPr>
          <w:rFonts w:hint="eastAsia"/>
          <w:sz w:val="24"/>
          <w:szCs w:val="24"/>
          <w:lang w:eastAsia="zh-CN"/>
        </w:rPr>
        <w:t>【依法、及时、有效原则】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坚持</w:t>
      </w:r>
      <w:r>
        <w:rPr>
          <w:rFonts w:hint="eastAsia" w:ascii="宋体" w:hAnsi="宋体" w:eastAsia="宋体" w:cs="宋体"/>
          <w:i w:val="0"/>
          <w:caps w:val="0"/>
          <w:color w:val="C55A11" w:themeColor="accent2" w:themeShade="BF"/>
          <w:spacing w:val="0"/>
          <w:sz w:val="24"/>
          <w:szCs w:val="24"/>
          <w:bdr w:val="none" w:color="auto" w:sz="0" w:space="0"/>
          <w:shd w:val="clear" w:fill="FFFFFF"/>
        </w:rPr>
        <w:t>依法、及时、有效</w:t>
      </w:r>
      <w:r>
        <w:rPr>
          <w:rFonts w:hint="eastAsia" w:ascii="宋体" w:hAnsi="宋体" w:eastAsia="宋体" w:cs="宋体"/>
          <w:i w:val="0"/>
          <w:caps w:val="0"/>
          <w:color w:val="2F2F2F"/>
          <w:spacing w:val="0"/>
          <w:sz w:val="24"/>
          <w:szCs w:val="24"/>
          <w:bdr w:val="none" w:color="auto" w:sz="0" w:space="0"/>
          <w:shd w:val="clear" w:fill="FFFFFF"/>
        </w:rPr>
        <w:t>保护受害人原则。各部门在临时庇护、法律援助、司法救助等方面要持续加大对家庭暴力受害人的帮扶力度，建立多层次、多样化、立体式的救助体系。要深刻认识家庭暴力的私密性、突发性特点，提高家庭暴力受害人证据意识，指导其依法及时保存、提交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rPr>
        <w:t>三、</w:t>
      </w:r>
      <w:r>
        <w:rPr>
          <w:rFonts w:hint="eastAsia" w:ascii="宋体" w:hAnsi="宋体" w:eastAsia="宋体" w:cs="宋体"/>
          <w:b/>
          <w:i w:val="0"/>
          <w:caps w:val="0"/>
          <w:color w:val="2F2F2F"/>
          <w:spacing w:val="0"/>
          <w:sz w:val="24"/>
          <w:szCs w:val="24"/>
          <w:shd w:val="clear" w:fill="FFFFFF"/>
          <w:lang w:eastAsia="zh-CN"/>
        </w:rPr>
        <w:t>【尊重受害人真实意愿原则】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坚持尊重受害人真实意愿原则。各部门在接受涉家庭暴力投诉、反映、求助以及受理案件、转介处置等工作中，应当就采取何种安全保护措施、是否申请人身安全保护令、对加害人的处理方式等方面听取受害人意见，加大对受害人的心理疏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rPr>
      </w:pPr>
      <w:r>
        <w:rPr>
          <w:rFonts w:hint="eastAsia" w:ascii="宋体" w:hAnsi="宋体" w:eastAsia="宋体" w:cs="宋体"/>
          <w:b/>
          <w:i w:val="0"/>
          <w:caps w:val="0"/>
          <w:color w:val="2F2F2F"/>
          <w:spacing w:val="0"/>
          <w:sz w:val="24"/>
          <w:szCs w:val="24"/>
          <w:shd w:val="clear" w:fill="FFFFFF"/>
        </w:rPr>
        <w:t>四、</w:t>
      </w:r>
      <w:r>
        <w:rPr>
          <w:rFonts w:hint="eastAsia" w:ascii="宋体" w:hAnsi="宋体" w:eastAsia="宋体" w:cs="宋体"/>
          <w:b/>
          <w:i w:val="0"/>
          <w:caps w:val="0"/>
          <w:color w:val="2F2F2F"/>
          <w:spacing w:val="0"/>
          <w:sz w:val="24"/>
          <w:szCs w:val="24"/>
          <w:shd w:val="clear" w:fill="FFFFFF"/>
          <w:lang w:eastAsia="zh-CN"/>
        </w:rPr>
        <w:t>【保护当事人隐私原则】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坚持保护当事人隐私原则。各部门在受理案件、协助执行、履行强制报告义务等工作中应当注重保护当事人尤其是未成年人的隐私。受害人已搬离与加害人共同住所的，不得将受害人的行踪或者联系方式告知加害人，不得在相关文书、回执中列明受害人的现住所。人身安全保护令原则上不得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五、</w:t>
      </w:r>
      <w:r>
        <w:rPr>
          <w:rFonts w:hint="eastAsia"/>
          <w:sz w:val="24"/>
          <w:szCs w:val="24"/>
          <w:lang w:eastAsia="zh-CN"/>
        </w:rPr>
        <w:t>【建立工作协同】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推动建立各部门协同的反家暴工作机制。积极推动将家庭暴力防控纳入社会治安综合治理体系，发挥平安建设考评机制作用。完善人民法院、公安机关、民政部门、司法行政部门、教育部门、卫生部门和妇女联合会等单位共同参与的反家暴工作体系。充分利用信息化建设成果，加强各部门间数据的协同共享。探索通过专案专档、分级预警等方式精准跟踪、实时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ascii="宋体" w:hAnsi="宋体" w:eastAsia="宋体" w:cs="宋体"/>
          <w:i w:val="0"/>
          <w:caps w:val="0"/>
          <w:color w:val="2F2F2F"/>
          <w:spacing w:val="0"/>
          <w:sz w:val="24"/>
          <w:szCs w:val="24"/>
          <w:bdr w:val="none" w:color="auto" w:sz="0" w:space="0"/>
          <w:shd w:val="clear" w:fill="FFFFFF"/>
        </w:rPr>
        <w:t>六、</w:t>
      </w:r>
      <w:r>
        <w:rPr>
          <w:rFonts w:hint="eastAsia"/>
          <w:sz w:val="24"/>
          <w:szCs w:val="24"/>
          <w:lang w:eastAsia="zh-CN"/>
        </w:rPr>
        <w:t>【公安职责】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公安机关应当强化依法干预家庭暴力的观念和意识，加大家庭暴力警情处置力度，强化对加害人的告诫，依法依规出具家庭暴力告诫书。注重搜集、固定证据，积极配合人民法院依职权调取证据，提供出警记录、告诫书、询（讯）问笔录等。有条件的地方可以与人民法院、民政部门、妇女联合会等建立家暴警情联动机制和告诫通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lang w:eastAsia="zh-CN"/>
        </w:rPr>
        <w:t>七、【民政职责】</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rightChars="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民政部门应当加强对居民委员会、村民委员会、社会工作服务机构、救助管理机构、福利机构等的培训和指导。居民委员会、村民委员会、社会工作服务机构、救助管理机构、福利机构及其工作人员在工作中发现无民事行为能力人、限制民事行为能力人遭受或者疑似遭受家庭暴力的，应当及时向公安机关报案。贯彻落实《关于做好家庭暴力受害人庇护救助工作的指导意见》，加强临时庇护场所建设和人员、资金配备，为家庭暴力受害人及时提供转介安置、法律援助、婚姻家庭纠纷调解等救助服务。</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rightChars="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lang w:eastAsia="zh-CN"/>
        </w:rPr>
        <w:t>八、【司法行政部门职责】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司法行政部门应当加大对家庭暴力受害人的法律援助力度，畅通法律援助申请渠道，健全服务网络。各地可以根据实际情况依托当地妇女联合会等建立法律援助工作站或者联络点，方便家庭暴力受害人就近寻求法律援助。加强对反家庭暴力法、未成年人保护法、妇女权益保障法、老年人权益保障法等法律法规的宣传。充分发挥人民调解优势作用，扎实做好婚姻家庭纠纷排查化解工作，预防家庭暴力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lang w:eastAsia="zh-CN"/>
        </w:rPr>
        <w:t>九、【医疗机构职责】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医疗机构在诊疗过程中，发现可能遭受家庭暴力的伤者，要详细做好伤者的信息登记和诊疗记录，将伤者的主诉、伤情和治疗过程，准确、客观、全面地记录于病历资料。建立医警联动机制，在诊疗过程中发现无民事行为能力人或者限制民事行为能力人遭受或者疑似遭受家庭暴力的，应当及时向公安机关报案，并积极配合公安机关做好医疗诊治资料收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lang w:eastAsia="zh-CN"/>
        </w:rPr>
        <w:t>十、【学校、幼儿园职责】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学校、幼儿园应当加强对未成年人保护法、预防未成年人犯罪法、反家庭暴力法等法律法规的宣传教育。注重家校、家园协同。在发现未成年人遭受或者疑似遭受家庭暴力的，应当根据《未成年人学校保护规定》，及时向公安、民政、教育等有关部门报告。注重保护未成年人隐私，加强心理疏导、干预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lang w:eastAsia="zh-CN"/>
        </w:rPr>
        <w:t>十一、【法院职责】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民法院应当建立人身安全保护令案件受理“绿色通道”，加大依职权调取证据力度，依法及时作出人身安全保护令。各基层人民法院及其派出人民法庭应当在立案大厅或者诉讼服务中心为当事人申请人身安全保护令提供导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十二、</w:t>
      </w:r>
      <w:r>
        <w:rPr>
          <w:rFonts w:hint="eastAsia"/>
          <w:sz w:val="24"/>
          <w:szCs w:val="24"/>
          <w:lang w:eastAsia="zh-CN"/>
        </w:rPr>
        <w:t>【最有利于未年成人原则】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坚持最有利于未成年人原则。各部门就家庭暴力事实听取未成年人意见或制作询问笔录时，应当充分考虑未成年人身心特点，提供适宜的场所环境，采取未成年人能够理解的问询方式，保护其隐私和安全。必要时，可安排心理咨询师或社会工作者协助开展工作。未成年人作为受害人的人身安全保护令案件中，人民法院可以通知法律援助机构为其提供法律援助。未成年子女作为证人提供证言的，可不出庭作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十三、</w:t>
      </w:r>
      <w:r>
        <w:rPr>
          <w:rFonts w:hint="eastAsia"/>
          <w:sz w:val="24"/>
          <w:szCs w:val="24"/>
          <w:lang w:eastAsia="zh-CN"/>
        </w:rPr>
        <w:t>【相关部门告知职责】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各部门在接受涉家庭暴力投诉、反映、求助或者处理婚姻家庭纠纷过程中，发现当事人遭受家庭暴力或者面临家庭暴力现实危险的，应当主动告知其可以向人民法院申请人身安全保护令。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rPr>
        <w:t>十四、</w:t>
      </w:r>
      <w:r>
        <w:rPr>
          <w:rFonts w:hint="eastAsia" w:ascii="宋体" w:hAnsi="宋体" w:eastAsia="宋体" w:cs="宋体"/>
          <w:b/>
          <w:i w:val="0"/>
          <w:caps w:val="0"/>
          <w:color w:val="2F2F2F"/>
          <w:spacing w:val="0"/>
          <w:sz w:val="24"/>
          <w:szCs w:val="24"/>
          <w:shd w:val="clear" w:fill="FFFFFF"/>
          <w:lang w:eastAsia="zh-CN"/>
        </w:rPr>
        <w:t>【保护令送达时限、范围】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民法院在作出人身安全保护令后，应当在24小时内向当事人送达，同时送达当地公安派出所、居民委员会、村民委员会，也可以视情况送达当地妇女联合会、学校、未成年人保护组织、残疾人联合会、依法设立的老年人组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rPr>
      </w:pPr>
      <w:r>
        <w:rPr>
          <w:rFonts w:hint="eastAsia" w:ascii="宋体" w:hAnsi="宋体" w:eastAsia="宋体" w:cs="宋体"/>
          <w:b/>
          <w:i w:val="0"/>
          <w:caps w:val="0"/>
          <w:color w:val="2F2F2F"/>
          <w:spacing w:val="0"/>
          <w:sz w:val="24"/>
          <w:szCs w:val="24"/>
          <w:shd w:val="clear" w:fill="FFFFFF"/>
        </w:rPr>
        <w:t>十五、</w:t>
      </w:r>
      <w:r>
        <w:rPr>
          <w:rFonts w:hint="eastAsia" w:ascii="宋体" w:hAnsi="宋体" w:eastAsia="宋体" w:cs="宋体"/>
          <w:b/>
          <w:i w:val="0"/>
          <w:caps w:val="0"/>
          <w:color w:val="2F2F2F"/>
          <w:spacing w:val="0"/>
          <w:sz w:val="24"/>
          <w:szCs w:val="24"/>
          <w:shd w:val="clear" w:fill="FFFFFF"/>
          <w:lang w:eastAsia="zh-CN"/>
        </w:rPr>
        <w:t>【注意释明、说服教育、后续措施】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民法院在送达人身安全保护令时，应当注重释明和说服教育，督促被申请人遵守人身安全保护令，告知其违反人身安全保护令的法律后果。被申请人不履行或者违反人身安全保护令的，申请人可以向人民法院申请强制执行。被申请人违反人身安全保护令，尚不构成犯罪的，人民法院应当给予训诫，可以根据情节轻重处以一千元以下罚款、十五日以下拘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b/>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ascii="宋体" w:hAnsi="宋体" w:eastAsia="宋体" w:cs="宋体"/>
          <w:b/>
          <w:i w:val="0"/>
          <w:caps w:val="0"/>
          <w:color w:val="2F2F2F"/>
          <w:spacing w:val="0"/>
          <w:sz w:val="24"/>
          <w:szCs w:val="24"/>
          <w:shd w:val="clear" w:fill="FFFFFF"/>
        </w:rPr>
        <w:t>十六</w:t>
      </w:r>
      <w:r>
        <w:rPr>
          <w:rFonts w:hint="eastAsia" w:ascii="宋体" w:hAnsi="宋体" w:eastAsia="宋体" w:cs="宋体"/>
          <w:i w:val="0"/>
          <w:caps w:val="0"/>
          <w:color w:val="2F2F2F"/>
          <w:spacing w:val="0"/>
          <w:sz w:val="24"/>
          <w:szCs w:val="24"/>
          <w:bdr w:val="none" w:color="auto" w:sz="0" w:space="0"/>
          <w:shd w:val="clear" w:fill="FFFFFF"/>
        </w:rPr>
        <w:t>、</w:t>
      </w:r>
      <w:r>
        <w:rPr>
          <w:rFonts w:hint="eastAsia"/>
          <w:sz w:val="24"/>
          <w:szCs w:val="24"/>
          <w:lang w:eastAsia="zh-CN"/>
        </w:rPr>
        <w:t>【协助执行部门】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民法院在送达人身安全保护令时，可以向当地公安派出所、居民委员会、村民委员会、妇女联合会、学校等一并送达协助执行通知书，协助执行通知书中应当明确载明协助事项。相关单位应当按照协助执行通知书的内容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rPr>
      </w:pPr>
      <w:r>
        <w:rPr>
          <w:rFonts w:hint="eastAsia" w:ascii="宋体" w:hAnsi="宋体" w:eastAsia="宋体" w:cs="宋体"/>
          <w:b/>
          <w:i w:val="0"/>
          <w:caps w:val="0"/>
          <w:color w:val="2F2F2F"/>
          <w:spacing w:val="0"/>
          <w:sz w:val="24"/>
          <w:szCs w:val="24"/>
          <w:shd w:val="clear" w:fill="FFFFFF"/>
        </w:rPr>
        <w:t>十七、</w:t>
      </w:r>
      <w:r>
        <w:rPr>
          <w:rFonts w:hint="eastAsia" w:ascii="宋体" w:hAnsi="宋体" w:eastAsia="宋体" w:cs="宋体"/>
          <w:b/>
          <w:i w:val="0"/>
          <w:caps w:val="0"/>
          <w:color w:val="2F2F2F"/>
          <w:spacing w:val="0"/>
          <w:sz w:val="24"/>
          <w:szCs w:val="24"/>
          <w:shd w:val="clear" w:fill="FFFFFF"/>
          <w:lang w:eastAsia="zh-CN"/>
        </w:rPr>
        <w:t>【公安协助执行内容】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身安全保护令有效期内，公安机关协助执行的内容可以包括：协助督促被申请人遵守人身安全保护令；在人身安全保护令有效期内，被申请人违反人身安全保护令的，公安机关接警后应当及时出警，制止违法行为；接到报警后救助、保护受害人，并搜集、固定证据；发现被申请人违反人身安全保护令的，将情况通报人民法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rPr>
      </w:pPr>
      <w:r>
        <w:rPr>
          <w:rFonts w:hint="eastAsia" w:ascii="宋体" w:hAnsi="宋体" w:eastAsia="宋体" w:cs="宋体"/>
          <w:b/>
          <w:i w:val="0"/>
          <w:caps w:val="0"/>
          <w:color w:val="2F2F2F"/>
          <w:spacing w:val="0"/>
          <w:sz w:val="24"/>
          <w:szCs w:val="24"/>
          <w:shd w:val="clear" w:fill="FFFFFF"/>
        </w:rPr>
        <w:t>十八、</w:t>
      </w:r>
      <w:r>
        <w:rPr>
          <w:rFonts w:hint="eastAsia" w:ascii="宋体" w:hAnsi="宋体" w:eastAsia="宋体" w:cs="宋体"/>
          <w:b/>
          <w:i w:val="0"/>
          <w:caps w:val="0"/>
          <w:color w:val="2F2F2F"/>
          <w:spacing w:val="0"/>
          <w:sz w:val="24"/>
          <w:szCs w:val="24"/>
          <w:shd w:val="clear" w:fill="FFFFFF"/>
          <w:lang w:eastAsia="zh-CN"/>
        </w:rPr>
        <w:t>【居委会、村委会、妇联、学校协助执行内容】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人身安全保护令有效期内，居民委员会、村民委员会、妇女联合会、学校等协助执行的内容可以包括：在人身安全保护令有效期内进行定期回访、跟踪记录等，填写回访单或记录单，期满由当事人签字后向人民法院反馈；发现被申请人违反人身安全保护令的，应当对其进行批评教育、填写情况反馈表，帮助受害人及时与人民法院、公安机关联系；对加害人进行法治教育，必要时对加害人、受害人进行心理辅导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十九、</w:t>
      </w:r>
      <w:r>
        <w:rPr>
          <w:rFonts w:hint="eastAsia"/>
          <w:sz w:val="24"/>
          <w:szCs w:val="24"/>
          <w:lang w:eastAsia="zh-CN"/>
        </w:rPr>
        <w:t>【引入社会工作和心理疏导机制】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各部门在接受涉家庭暴力投诉、反映、求助或者处理婚姻家庭纠纷过程中，可以探索引入社会工作和心理疏导机制，缓解受害人以及未成年子女的心理创伤，矫治施暴者认识行为偏差，避免暴力升级，从根本上减少恶性事件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ascii="宋体" w:hAnsi="宋体" w:eastAsia="宋体" w:cs="宋体"/>
          <w:i w:val="0"/>
          <w:caps w:val="0"/>
          <w:color w:val="2F2F2F"/>
          <w:spacing w:val="0"/>
          <w:sz w:val="24"/>
          <w:szCs w:val="24"/>
          <w:bdr w:val="none" w:color="auto" w:sz="0" w:space="0"/>
          <w:shd w:val="clear" w:fill="FFFFFF"/>
        </w:rPr>
        <w:t>二十、</w:t>
      </w:r>
      <w:r>
        <w:rPr>
          <w:rFonts w:hint="eastAsia"/>
          <w:sz w:val="24"/>
          <w:szCs w:val="24"/>
          <w:lang w:eastAsia="zh-CN"/>
        </w:rPr>
        <w:t>【学习培训、普法宣传】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各部门应当充分认识人身安全保护令制度的重要意义，加大学习培训力度，熟悉人身安全保护令申请主体、作出程序以及协助执行的具体内容等，加强人身安全保护令制度普法宣传。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最高人民法院          全国妇联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教育部              公安部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民政部              司法部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i w:val="0"/>
          <w:caps w:val="0"/>
          <w:color w:val="2F2F2F"/>
          <w:spacing w:val="0"/>
          <w:sz w:val="24"/>
          <w:szCs w:val="24"/>
          <w:bdr w:val="none" w:color="auto" w:sz="0" w:space="0"/>
          <w:shd w:val="clear" w:fill="FFFFFF"/>
        </w:rPr>
        <w:t>　　2022年3月3日</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2022-03-08T22:12:46Z</dcterms:created>
  <dc:creator>fzr</dc:creator>
  <cp:lastModifiedBy>默默</cp:lastModifiedBy>
  <dcterms:modified xsi:type="dcterms:W3CDTF">2022-03-08T22:40:37Z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