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47" w:line="366" w:lineRule="auto"/>
        <w:ind w:left="-5" w:hanging="10"/>
        <w:rPr>
          <w:rFonts w:hint="eastAsia" w:ascii="宋体" w:hAnsi="宋体" w:eastAsia="宋体" w:cs="宋体"/>
          <w:sz w:val="24"/>
          <w:szCs w:val="24"/>
        </w:rPr>
      </w:pPr>
      <w:r>
        <w:rPr>
          <w:rFonts w:hint="eastAsia" w:ascii="宋体" w:hAnsi="宋体" w:eastAsia="宋体" w:cs="宋体"/>
          <w:sz w:val="24"/>
          <w:szCs w:val="24"/>
        </w:rPr>
        <w:t xml:space="preserve">附件 </w:t>
      </w:r>
      <w:r>
        <w:rPr>
          <w:rFonts w:hint="eastAsia" w:ascii="宋体" w:hAnsi="宋体" w:eastAsia="宋体" w:cs="宋体"/>
          <w:sz w:val="24"/>
          <w:szCs w:val="24"/>
        </w:rPr>
        <w:t>1</w:t>
      </w:r>
    </w:p>
    <w:p>
      <w:pPr>
        <w:pStyle w:val="2"/>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享受税收优惠政策的企业条件和项目标准</w:t>
      </w:r>
    </w:p>
    <w:p>
      <w:pPr>
        <w:spacing w:after="1" w:line="366" w:lineRule="auto"/>
        <w:ind w:left="-15" w:firstLine="6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 xml:space="preserve">》第（一）条提及的国家鼓励的集成电路线宽小于 </w:t>
      </w:r>
      <w:r>
        <w:rPr>
          <w:rFonts w:hint="eastAsia" w:ascii="宋体" w:hAnsi="宋体" w:eastAsia="宋体" w:cs="宋体"/>
          <w:sz w:val="24"/>
          <w:szCs w:val="24"/>
        </w:rPr>
        <w:t xml:space="preserve">28 </w:t>
      </w:r>
      <w:r>
        <w:rPr>
          <w:rFonts w:hint="eastAsia" w:ascii="宋体" w:hAnsi="宋体" w:eastAsia="宋体" w:cs="宋体"/>
          <w:sz w:val="24"/>
          <w:szCs w:val="24"/>
        </w:rPr>
        <w:t xml:space="preserve">纳米（含）、线宽小于 </w:t>
      </w:r>
      <w:r>
        <w:rPr>
          <w:rFonts w:hint="eastAsia" w:ascii="宋体" w:hAnsi="宋体" w:eastAsia="宋体" w:cs="宋体"/>
          <w:sz w:val="24"/>
          <w:szCs w:val="24"/>
        </w:rPr>
        <w:t xml:space="preserve">65 </w:t>
      </w:r>
      <w:r>
        <w:rPr>
          <w:rFonts w:hint="eastAsia" w:ascii="宋体" w:hAnsi="宋体" w:eastAsia="宋体" w:cs="宋体"/>
          <w:sz w:val="24"/>
          <w:szCs w:val="24"/>
        </w:rPr>
        <w:t xml:space="preserve">纳米（含）、线宽小于 </w:t>
      </w:r>
      <w:r>
        <w:rPr>
          <w:rFonts w:hint="eastAsia" w:ascii="宋体" w:hAnsi="宋体" w:eastAsia="宋体" w:cs="宋体"/>
          <w:sz w:val="24"/>
          <w:szCs w:val="24"/>
        </w:rPr>
        <w:t xml:space="preserve">130 </w:t>
      </w:r>
      <w:r>
        <w:rPr>
          <w:rFonts w:hint="eastAsia" w:ascii="宋体" w:hAnsi="宋体" w:eastAsia="宋体" w:cs="宋体"/>
          <w:sz w:val="24"/>
          <w:szCs w:val="24"/>
        </w:rPr>
        <w:t>纳米</w:t>
      </w:r>
    </w:p>
    <w:p>
      <w:pPr>
        <w:spacing w:after="166" w:line="259" w:lineRule="auto"/>
        <w:ind w:left="-5" w:hanging="10"/>
        <w:rPr>
          <w:rFonts w:hint="eastAsia" w:ascii="宋体" w:hAnsi="宋体" w:eastAsia="宋体" w:cs="宋体"/>
          <w:sz w:val="24"/>
          <w:szCs w:val="24"/>
        </w:rPr>
      </w:pPr>
      <w:r>
        <w:rPr>
          <w:rFonts w:hint="eastAsia" w:ascii="宋体" w:hAnsi="宋体" w:eastAsia="宋体" w:cs="宋体"/>
          <w:sz w:val="24"/>
          <w:szCs w:val="24"/>
        </w:rPr>
        <w:t>（含）的集成电路生产企业或项目享受税收优惠政策条件如下：</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在中国境内（不包括港、澳、台地区）依法注册并具有独立法人资格的企业；</w:t>
      </w:r>
    </w:p>
    <w:p>
      <w:pPr>
        <w:numPr>
          <w:numId w:val="0"/>
        </w:numPr>
        <w:spacing w:after="192" w:line="259" w:lineRule="auto"/>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符合国家布局规划和产业政策；</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 xml:space="preserve">汇算清缴年度，具有劳动合同关系或劳务派遣、聘用关系，其中具有本科及以上学历月平均职工人数占企业月平均职工总人数的比例不低于 </w:t>
      </w:r>
      <w:r>
        <w:rPr>
          <w:rFonts w:hint="eastAsia" w:ascii="宋体" w:hAnsi="宋体" w:eastAsia="宋体" w:cs="宋体"/>
          <w:sz w:val="24"/>
          <w:szCs w:val="24"/>
        </w:rPr>
        <w:t>30%</w:t>
      </w:r>
      <w:r>
        <w:rPr>
          <w:rFonts w:hint="eastAsia" w:ascii="宋体" w:hAnsi="宋体" w:eastAsia="宋体" w:cs="宋体"/>
          <w:sz w:val="24"/>
          <w:szCs w:val="24"/>
        </w:rPr>
        <w:t xml:space="preserve">，研究开发人员月平均数占企业月平均职工总数的比例不低于 </w:t>
      </w:r>
      <w:r>
        <w:rPr>
          <w:rFonts w:hint="eastAsia" w:ascii="宋体" w:hAnsi="宋体" w:eastAsia="宋体" w:cs="宋体"/>
          <w:sz w:val="24"/>
          <w:szCs w:val="24"/>
        </w:rPr>
        <w:t>20%</w:t>
      </w:r>
      <w:r>
        <w:rPr>
          <w:rFonts w:hint="eastAsia" w:ascii="宋体" w:hAnsi="宋体" w:eastAsia="宋体" w:cs="宋体"/>
          <w:sz w:val="24"/>
          <w:szCs w:val="24"/>
        </w:rPr>
        <w:t xml:space="preserve">（从事 </w:t>
      </w:r>
      <w:r>
        <w:rPr>
          <w:rFonts w:hint="eastAsia" w:ascii="宋体" w:hAnsi="宋体" w:eastAsia="宋体" w:cs="宋体"/>
          <w:sz w:val="24"/>
          <w:szCs w:val="24"/>
        </w:rPr>
        <w:t xml:space="preserve">8 </w:t>
      </w:r>
      <w:r>
        <w:rPr>
          <w:rFonts w:hint="eastAsia" w:ascii="宋体" w:hAnsi="宋体" w:eastAsia="宋体" w:cs="宋体"/>
          <w:sz w:val="24"/>
          <w:szCs w:val="24"/>
        </w:rPr>
        <w:t>英寸及以下集成电路生产的不低于</w:t>
      </w:r>
      <w:r>
        <w:rPr>
          <w:rFonts w:hint="eastAsia" w:ascii="宋体" w:hAnsi="宋体" w:eastAsia="宋体" w:cs="宋体"/>
          <w:sz w:val="24"/>
          <w:szCs w:val="24"/>
        </w:rPr>
        <w:t>15%</w:t>
      </w:r>
      <w:r>
        <w:rPr>
          <w:rFonts w:hint="eastAsia" w:ascii="宋体" w:hAnsi="宋体" w:eastAsia="宋体" w:cs="宋体"/>
          <w:sz w:val="24"/>
          <w:szCs w:val="24"/>
        </w:rPr>
        <w:t>）；</w:t>
      </w:r>
    </w:p>
    <w:p>
      <w:pPr>
        <w:numPr>
          <w:numId w:val="0"/>
        </w:numPr>
        <w:spacing w:after="194"/>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企业拥有关键核心技术和属于本企业的知识产权，并以此为基础开展经营活动，且</w:t>
      </w:r>
      <w:r>
        <w:rPr>
          <w:rFonts w:hint="eastAsia" w:ascii="宋体" w:hAnsi="宋体" w:eastAsia="宋体" w:cs="宋体"/>
          <w:color w:val="C55A11" w:themeColor="accent2" w:themeShade="BF"/>
          <w:sz w:val="24"/>
          <w:szCs w:val="24"/>
        </w:rPr>
        <w:t xml:space="preserve">汇算清缴年度研究开发费用总额占企业销售（营业）收入（主营业务收入与其他业务收入之和）总额的比例不低于 </w:t>
      </w:r>
      <w:r>
        <w:rPr>
          <w:rFonts w:hint="eastAsia" w:ascii="宋体" w:hAnsi="宋体" w:eastAsia="宋体" w:cs="宋体"/>
          <w:color w:val="C55A11" w:themeColor="accent2" w:themeShade="BF"/>
          <w:sz w:val="24"/>
          <w:szCs w:val="24"/>
        </w:rPr>
        <w:t>2%</w:t>
      </w:r>
      <w:r>
        <w:rPr>
          <w:rFonts w:hint="eastAsia" w:ascii="宋体" w:hAnsi="宋体" w:eastAsia="宋体" w:cs="宋体"/>
          <w:sz w:val="24"/>
          <w:szCs w:val="24"/>
        </w:rPr>
        <w:t>（本条及下述研究开发费用政策口径，按照《财政部、国家税务总局、科技部关于完善研究开发费用税前加计扣除政策的通知》（</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w:instrText>
      </w:r>
      <w:r>
        <w:rPr>
          <w:rFonts w:hint="eastAsia" w:ascii="宋体" w:hAnsi="宋体" w:eastAsia="宋体" w:cs="宋体"/>
          <w:sz w:val="24"/>
          <w:szCs w:val="24"/>
        </w:rPr>
        <w:instrText xml:space="preserve">NK "http://ssfb86.com/index/News/detail/newsid/884.html"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财税〔2015〕119 号</w:t>
      </w:r>
      <w:r>
        <w:rPr>
          <w:rFonts w:hint="eastAsia" w:ascii="宋体" w:hAnsi="宋体" w:eastAsia="宋体" w:cs="宋体"/>
          <w:sz w:val="24"/>
          <w:szCs w:val="24"/>
        </w:rPr>
        <w:fldChar w:fldCharType="end"/>
      </w:r>
      <w:r>
        <w:rPr>
          <w:rFonts w:hint="eastAsia" w:ascii="宋体" w:hAnsi="宋体" w:eastAsia="宋体" w:cs="宋体"/>
          <w:sz w:val="24"/>
          <w:szCs w:val="24"/>
        </w:rPr>
        <w:t>）和《国家税务总局关于研发费用税前加计扣除归集范围有关问题的公告》（</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"http://ssfb86.com/index/News/detail/newsid/461.html"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国家税务总局公告 2017 年第 40 号</w:t>
      </w:r>
      <w:r>
        <w:rPr>
          <w:rFonts w:hint="eastAsia" w:ascii="宋体" w:hAnsi="宋体" w:eastAsia="宋体" w:cs="宋体"/>
          <w:sz w:val="24"/>
          <w:szCs w:val="24"/>
        </w:rPr>
        <w:fldChar w:fldCharType="end"/>
      </w:r>
      <w:r>
        <w:rPr>
          <w:rFonts w:hint="eastAsia" w:ascii="宋体" w:hAnsi="宋体" w:eastAsia="宋体" w:cs="宋体"/>
          <w:sz w:val="24"/>
          <w:szCs w:val="24"/>
        </w:rPr>
        <w:t>）的规定执行）；</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汇算清缴年</w:t>
      </w:r>
      <w:r>
        <w:rPr>
          <w:rFonts w:hint="eastAsia" w:ascii="宋体" w:hAnsi="宋体" w:eastAsia="宋体" w:cs="宋体"/>
          <w:color w:val="C55A11" w:themeColor="accent2" w:themeShade="BF"/>
          <w:sz w:val="24"/>
          <w:szCs w:val="24"/>
        </w:rPr>
        <w:t>度集成电路制造销售（营业）收入占企业收入总额的比例不低于 60</w:t>
      </w:r>
      <w:r>
        <w:rPr>
          <w:rFonts w:hint="eastAsia" w:ascii="宋体" w:hAnsi="宋体" w:eastAsia="宋体" w:cs="宋体"/>
          <w:sz w:val="24"/>
          <w:szCs w:val="24"/>
        </w:rPr>
        <w:t>%</w:t>
      </w:r>
      <w:r>
        <w:rPr>
          <w:rFonts w:hint="eastAsia" w:ascii="宋体" w:hAnsi="宋体" w:eastAsia="宋体" w:cs="宋体"/>
          <w:sz w:val="24"/>
          <w:szCs w:val="24"/>
        </w:rPr>
        <w:t>；</w:t>
      </w:r>
    </w:p>
    <w:p>
      <w:pPr>
        <w:numPr>
          <w:numId w:val="0"/>
        </w:numPr>
        <w:spacing w:after="192" w:line="259" w:lineRule="auto"/>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具有保证相关工艺线宽产品生产的手段和能力；</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汇算清缴年度未发生重大安全、重大质量事故或严重环境违法行为；</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对于按照集成电路生产项目享受税收优惠政策的，项目主体企业应符合相应的集成电路生产企业条件，且能够对该项目单独进行会计核算、计算所得，并合理分摊期间费用。</w:t>
      </w:r>
    </w:p>
    <w:p>
      <w:pPr>
        <w:spacing w:after="1" w:line="366" w:lineRule="auto"/>
        <w:ind w:left="-15" w:firstLine="6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》第（三）、（七）条提及的国家鼓励的重点集成电路设计企业享受税收优惠政策条件，除符合《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"http://ssfb86.com/index/News/detail/newsid/8861.html"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中华人民共和国工业和信息化部、国家发展改革委、财政部、国家税务总局公告 2021 年第 9 号</w:t>
      </w:r>
      <w:r>
        <w:rPr>
          <w:rFonts w:hint="eastAsia" w:ascii="宋体" w:hAnsi="宋体" w:eastAsia="宋体" w:cs="宋体"/>
          <w:sz w:val="24"/>
          <w:szCs w:val="24"/>
        </w:rPr>
        <w:fldChar w:fldCharType="end"/>
      </w:r>
      <w:r>
        <w:rPr>
          <w:rFonts w:hint="eastAsia" w:ascii="宋体" w:hAnsi="宋体" w:eastAsia="宋体" w:cs="宋体"/>
          <w:sz w:val="24"/>
          <w:szCs w:val="24"/>
        </w:rPr>
        <w:t>》规定的国家鼓励的集成电路设计企业条件外，还应符合以下条件：</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汇算清缴年度具有劳动合同关系或劳务派遣、聘用关系，其中具有本科及以上学历月平均职工人数占企业月平均职工总人数的比例不低于 </w:t>
      </w:r>
      <w:r>
        <w:rPr>
          <w:rFonts w:hint="eastAsia" w:ascii="宋体" w:hAnsi="宋体" w:eastAsia="宋体" w:cs="宋体"/>
          <w:sz w:val="24"/>
          <w:szCs w:val="24"/>
        </w:rPr>
        <w:t>50%</w:t>
      </w:r>
      <w:r>
        <w:rPr>
          <w:rFonts w:hint="eastAsia" w:ascii="宋体" w:hAnsi="宋体" w:eastAsia="宋体" w:cs="宋体"/>
          <w:sz w:val="24"/>
          <w:szCs w:val="24"/>
        </w:rPr>
        <w:t xml:space="preserve">，研究开发人员月平均数占企业月平均职工总数的比例不低于 </w:t>
      </w:r>
      <w:r>
        <w:rPr>
          <w:rFonts w:hint="eastAsia" w:ascii="宋体" w:hAnsi="宋体" w:eastAsia="宋体" w:cs="宋体"/>
          <w:sz w:val="24"/>
          <w:szCs w:val="24"/>
        </w:rPr>
        <w:t>40%</w:t>
      </w:r>
      <w:r>
        <w:rPr>
          <w:rFonts w:hint="eastAsia" w:ascii="宋体" w:hAnsi="宋体" w:eastAsia="宋体" w:cs="宋体"/>
          <w:sz w:val="24"/>
          <w:szCs w:val="24"/>
        </w:rPr>
        <w:t>；</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拥有关键核心技术，并以此为基础开展经营活动，且汇算清缴年度</w:t>
      </w:r>
      <w:r>
        <w:rPr>
          <w:rFonts w:hint="eastAsia" w:ascii="宋体" w:hAnsi="宋体" w:eastAsia="宋体" w:cs="宋体"/>
          <w:color w:val="C55A11" w:themeColor="accent2" w:themeShade="BF"/>
          <w:sz w:val="24"/>
          <w:szCs w:val="24"/>
        </w:rPr>
        <w:t>研究开发费用总额占企业销售（营业）收入（主营业务收入与其他业务收入之和）总额的比例不低于 6%</w:t>
      </w:r>
      <w:r>
        <w:rPr>
          <w:rFonts w:hint="eastAsia" w:ascii="宋体" w:hAnsi="宋体" w:eastAsia="宋体" w:cs="宋体"/>
          <w:sz w:val="24"/>
          <w:szCs w:val="24"/>
        </w:rPr>
        <w:t>；</w:t>
      </w:r>
    </w:p>
    <w:p>
      <w:pPr>
        <w:numPr>
          <w:numId w:val="0"/>
        </w:numPr>
        <w:spacing w:after="0" w:line="387" w:lineRule="auto"/>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汇算清缴年度集</w:t>
      </w:r>
      <w:r>
        <w:rPr>
          <w:rFonts w:hint="eastAsia" w:ascii="宋体" w:hAnsi="宋体" w:eastAsia="宋体" w:cs="宋体"/>
          <w:color w:val="C55A11" w:themeColor="accent2" w:themeShade="BF"/>
          <w:sz w:val="24"/>
          <w:szCs w:val="24"/>
        </w:rPr>
        <w:t>成电路设计（含 EDA 工具、IP 和设计服务，下同）销售（营业）收入占企业收入总额的比例不低于 70%</w:t>
      </w:r>
      <w:r>
        <w:rPr>
          <w:rFonts w:hint="eastAsia" w:ascii="宋体" w:hAnsi="宋体" w:eastAsia="宋体" w:cs="宋体"/>
          <w:sz w:val="24"/>
          <w:szCs w:val="24"/>
        </w:rPr>
        <w:t xml:space="preserve">，其中集成电路自主设计销售（营业）收入占企业收入总额的比例不低于 </w:t>
      </w:r>
      <w:r>
        <w:rPr>
          <w:rFonts w:hint="eastAsia" w:ascii="宋体" w:hAnsi="宋体" w:eastAsia="宋体" w:cs="宋体"/>
          <w:sz w:val="24"/>
          <w:szCs w:val="24"/>
        </w:rPr>
        <w:t>60%</w:t>
      </w:r>
      <w:r>
        <w:rPr>
          <w:rFonts w:hint="eastAsia" w:ascii="宋体" w:hAnsi="宋体" w:eastAsia="宋体" w:cs="宋体"/>
          <w:sz w:val="24"/>
          <w:szCs w:val="24"/>
        </w:rPr>
        <w:t xml:space="preserve">；对于集成电路设计销售（营业）收入超过 </w:t>
      </w:r>
      <w:r>
        <w:rPr>
          <w:rFonts w:hint="eastAsia" w:ascii="宋体" w:hAnsi="宋体" w:eastAsia="宋体" w:cs="宋体"/>
          <w:sz w:val="24"/>
          <w:szCs w:val="24"/>
        </w:rPr>
        <w:t xml:space="preserve">50 </w:t>
      </w:r>
      <w:r>
        <w:rPr>
          <w:rFonts w:hint="eastAsia" w:ascii="宋体" w:hAnsi="宋体" w:eastAsia="宋体" w:cs="宋体"/>
          <w:sz w:val="24"/>
          <w:szCs w:val="24"/>
        </w:rPr>
        <w:t xml:space="preserve">亿元的企业，汇算清缴年度集成电路设计销售（营业）收入占企业收入总额的比例不低于 </w:t>
      </w:r>
      <w:r>
        <w:rPr>
          <w:rFonts w:hint="eastAsia" w:ascii="宋体" w:hAnsi="宋体" w:eastAsia="宋体" w:cs="宋体"/>
          <w:sz w:val="24"/>
          <w:szCs w:val="24"/>
        </w:rPr>
        <w:t>60%</w:t>
      </w:r>
      <w:r>
        <w:rPr>
          <w:rFonts w:hint="eastAsia" w:ascii="宋体" w:hAnsi="宋体" w:eastAsia="宋体" w:cs="宋体"/>
          <w:sz w:val="24"/>
          <w:szCs w:val="24"/>
        </w:rPr>
        <w:t xml:space="preserve">，其中集成电路自主设计销售（营业）收入占企业收入总额的比例不低于 </w:t>
      </w:r>
      <w:r>
        <w:rPr>
          <w:rFonts w:hint="eastAsia" w:ascii="宋体" w:hAnsi="宋体" w:eastAsia="宋体" w:cs="宋体"/>
          <w:sz w:val="24"/>
          <w:szCs w:val="24"/>
        </w:rPr>
        <w:t>50%</w:t>
      </w:r>
      <w:r>
        <w:rPr>
          <w:rFonts w:hint="eastAsia" w:ascii="宋体" w:hAnsi="宋体" w:eastAsia="宋体" w:cs="宋体"/>
          <w:sz w:val="24"/>
          <w:szCs w:val="24"/>
        </w:rPr>
        <w:t>；</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企业拥有核心关键技术和属于本企业的知识产权，企业拥有与集成电路产品设计相关的</w:t>
      </w:r>
      <w:r>
        <w:rPr>
          <w:rFonts w:hint="eastAsia" w:ascii="宋体" w:hAnsi="宋体" w:eastAsia="宋体" w:cs="宋体"/>
          <w:color w:val="C55A11" w:themeColor="accent2" w:themeShade="BF"/>
          <w:sz w:val="24"/>
          <w:szCs w:val="24"/>
        </w:rPr>
        <w:t>已授权发明专利（企业为第一权利人）、布图设计登记、计算机软件著作权合计不少于 8 个</w:t>
      </w:r>
      <w:r>
        <w:rPr>
          <w:rFonts w:hint="eastAsia" w:ascii="宋体" w:hAnsi="宋体" w:eastAsia="宋体" w:cs="宋体"/>
          <w:sz w:val="24"/>
          <w:szCs w:val="24"/>
        </w:rPr>
        <w:t>。</w:t>
      </w:r>
    </w:p>
    <w:p>
      <w:pPr>
        <w:pStyle w:val="3"/>
        <w:ind w:left="595"/>
        <w:rPr>
          <w:rFonts w:hint="eastAsia" w:ascii="宋体" w:hAnsi="宋体" w:eastAsia="宋体" w:cs="宋体"/>
          <w:sz w:val="24"/>
          <w:szCs w:val="24"/>
        </w:rPr>
      </w:pPr>
      <w:r>
        <w:rPr>
          <w:rFonts w:hint="eastAsia" w:ascii="宋体" w:hAnsi="宋体" w:eastAsia="宋体" w:cs="宋体"/>
          <w:sz w:val="24"/>
          <w:szCs w:val="24"/>
        </w:rPr>
        <w:t>除以上条件外，还应至少符合下列条件中的一项：</w:t>
      </w:r>
    </w:p>
    <w:p>
      <w:pPr>
        <w:numPr>
          <w:numId w:val="0"/>
        </w:numPr>
        <w:ind w:right="72"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汇算清缴年度，</w:t>
      </w:r>
      <w:r>
        <w:rPr>
          <w:rFonts w:hint="eastAsia" w:ascii="宋体" w:hAnsi="宋体" w:eastAsia="宋体" w:cs="宋体"/>
          <w:color w:val="C55A11" w:themeColor="accent2" w:themeShade="BF"/>
          <w:sz w:val="24"/>
          <w:szCs w:val="24"/>
        </w:rPr>
        <w:t>集成电路设计销售（营业）收入不低于 5 亿元，应纳税所得额不低于 3000 万元；对于集成电路设计销售（营业）收入不低于 50 亿元的企业，可不要求应纳税所得额，但研究开发费用总额占企业销售（营业）收入（主营业务收入与其他业务收入之和）总额的比例不低于 8%</w:t>
      </w:r>
      <w:r>
        <w:rPr>
          <w:rFonts w:hint="eastAsia" w:ascii="宋体" w:hAnsi="宋体" w:eastAsia="宋体" w:cs="宋体"/>
          <w:sz w:val="24"/>
          <w:szCs w:val="24"/>
        </w:rPr>
        <w:t>。</w:t>
      </w:r>
    </w:p>
    <w:p>
      <w:pPr>
        <w:numPr>
          <w:numId w:val="0"/>
        </w:numPr>
        <w:spacing w:after="1" w:line="387" w:lineRule="auto"/>
        <w:ind w:right="72"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在国家鼓励的重点集成电路设计领域内（附件 </w:t>
      </w:r>
      <w:r>
        <w:rPr>
          <w:rFonts w:hint="eastAsia" w:ascii="宋体" w:hAnsi="宋体" w:eastAsia="宋体" w:cs="宋体"/>
          <w:sz w:val="24"/>
          <w:szCs w:val="24"/>
        </w:rPr>
        <w:t>2</w:t>
      </w:r>
      <w:r>
        <w:rPr>
          <w:rFonts w:hint="eastAsia" w:ascii="宋体" w:hAnsi="宋体" w:eastAsia="宋体" w:cs="宋体"/>
          <w:sz w:val="24"/>
          <w:szCs w:val="24"/>
        </w:rPr>
        <w:t>），</w:t>
      </w:r>
      <w:r>
        <w:rPr>
          <w:rFonts w:hint="eastAsia" w:ascii="宋体" w:hAnsi="宋体" w:eastAsia="宋体" w:cs="宋体"/>
          <w:color w:val="C55A11" w:themeColor="accent2" w:themeShade="BF"/>
          <w:sz w:val="24"/>
          <w:szCs w:val="24"/>
        </w:rPr>
        <w:t>汇算清缴年度集成电路设计销售（营业）收入不低于 3000 万元，应纳税所得额不低于 350 万元</w:t>
      </w:r>
      <w:r>
        <w:rPr>
          <w:rFonts w:hint="eastAsia" w:ascii="宋体" w:hAnsi="宋体" w:eastAsia="宋体" w:cs="宋体"/>
          <w:sz w:val="24"/>
          <w:szCs w:val="24"/>
        </w:rPr>
        <w:t>。</w:t>
      </w:r>
    </w:p>
    <w:p>
      <w:pPr>
        <w:spacing w:after="172" w:line="366" w:lineRule="auto"/>
        <w:ind w:left="-15" w:firstLine="600"/>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》第（三）、（七）条提及的国家鼓励的重点软件企业享受税收优惠政策条件，除符合《</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w:instrText>
      </w:r>
      <w:r>
        <w:rPr>
          <w:rFonts w:hint="eastAsia" w:ascii="宋体" w:hAnsi="宋体" w:eastAsia="宋体" w:cs="宋体"/>
          <w:sz w:val="24"/>
          <w:szCs w:val="24"/>
        </w:rPr>
        <w:instrText xml:space="preserve">ail/newsid/8875.html"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中华人民共和国工业和信息化部、国家发展改革委、财政部、国家税务总局公告 2021 年第 10 号</w:t>
      </w:r>
      <w:r>
        <w:rPr>
          <w:rFonts w:hint="eastAsia" w:ascii="宋体" w:hAnsi="宋体" w:eastAsia="宋体" w:cs="宋体"/>
          <w:sz w:val="24"/>
          <w:szCs w:val="24"/>
        </w:rPr>
        <w:fldChar w:fldCharType="end"/>
      </w:r>
      <w:r>
        <w:rPr>
          <w:rFonts w:hint="eastAsia" w:ascii="宋体" w:hAnsi="宋体" w:eastAsia="宋体" w:cs="宋体"/>
          <w:sz w:val="24"/>
          <w:szCs w:val="24"/>
        </w:rPr>
        <w:t>》规定的国家鼓励的软件企业条件外，还应至少符合下列条件中的一项：</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专业开发基础软件、研发设计类工业软件的企业（具体领域说明见附件 </w:t>
      </w:r>
      <w:r>
        <w:rPr>
          <w:rFonts w:hint="eastAsia" w:ascii="宋体" w:hAnsi="宋体" w:eastAsia="宋体" w:cs="宋体"/>
          <w:sz w:val="24"/>
          <w:szCs w:val="24"/>
        </w:rPr>
        <w:t>2</w:t>
      </w:r>
      <w:r>
        <w:rPr>
          <w:rFonts w:hint="eastAsia" w:ascii="宋体" w:hAnsi="宋体" w:eastAsia="宋体" w:cs="宋体"/>
          <w:sz w:val="24"/>
          <w:szCs w:val="24"/>
        </w:rPr>
        <w:t xml:space="preserve">，下同），汇算清缴年度软件产品开发销售及相关信息技术服务（营业）收入（其中相关信息技术服务是指实现软件产品功能直接相关的咨询设计、软件运维、数据服务，下同）不低于 </w:t>
      </w:r>
      <w:r>
        <w:rPr>
          <w:rFonts w:hint="eastAsia" w:ascii="宋体" w:hAnsi="宋体" w:eastAsia="宋体" w:cs="宋体"/>
          <w:sz w:val="24"/>
          <w:szCs w:val="24"/>
        </w:rPr>
        <w:t xml:space="preserve">5000 </w:t>
      </w:r>
      <w:r>
        <w:rPr>
          <w:rFonts w:hint="eastAsia" w:ascii="宋体" w:hAnsi="宋体" w:eastAsia="宋体" w:cs="宋体"/>
          <w:sz w:val="24"/>
          <w:szCs w:val="24"/>
        </w:rPr>
        <w:t>万元；汇算清缴年度</w:t>
      </w:r>
      <w:r>
        <w:rPr>
          <w:rFonts w:hint="eastAsia" w:ascii="宋体" w:hAnsi="宋体" w:eastAsia="宋体" w:cs="宋体"/>
          <w:color w:val="C55A11" w:themeColor="accent2" w:themeShade="BF"/>
          <w:sz w:val="24"/>
          <w:szCs w:val="24"/>
        </w:rPr>
        <w:t>研究开发费用总额占企业销售（营业）收入总额的比例不低于 7%</w:t>
      </w:r>
      <w:r>
        <w:rPr>
          <w:rFonts w:hint="eastAsia" w:ascii="宋体" w:hAnsi="宋体" w:eastAsia="宋体" w:cs="宋体"/>
          <w:sz w:val="24"/>
          <w:szCs w:val="24"/>
        </w:rPr>
        <w:t>；</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 xml:space="preserve">专业开发生产控制类工业软件、新兴技术软件、信息安全软件的企业，汇算清缴年度软件产品开发销售及相关信息技术服务（营业）收入不低于 </w:t>
      </w:r>
      <w:r>
        <w:rPr>
          <w:rFonts w:hint="eastAsia" w:ascii="宋体" w:hAnsi="宋体" w:eastAsia="宋体" w:cs="宋体"/>
          <w:sz w:val="24"/>
          <w:szCs w:val="24"/>
        </w:rPr>
        <w:t xml:space="preserve">1 </w:t>
      </w:r>
      <w:r>
        <w:rPr>
          <w:rFonts w:hint="eastAsia" w:ascii="宋体" w:hAnsi="宋体" w:eastAsia="宋体" w:cs="宋体"/>
          <w:sz w:val="24"/>
          <w:szCs w:val="24"/>
        </w:rPr>
        <w:t xml:space="preserve">亿元；应纳税所得额不低于 </w:t>
      </w:r>
      <w:r>
        <w:rPr>
          <w:rFonts w:hint="eastAsia" w:ascii="宋体" w:hAnsi="宋体" w:eastAsia="宋体" w:cs="宋体"/>
          <w:sz w:val="24"/>
          <w:szCs w:val="24"/>
        </w:rPr>
        <w:t xml:space="preserve">500 </w:t>
      </w:r>
      <w:r>
        <w:rPr>
          <w:rFonts w:hint="eastAsia" w:ascii="宋体" w:hAnsi="宋体" w:eastAsia="宋体" w:cs="宋体"/>
          <w:sz w:val="24"/>
          <w:szCs w:val="24"/>
        </w:rPr>
        <w:t xml:space="preserve">万元；研究开发人员月平均数占企业月平均职工总数的比例不低于 </w:t>
      </w:r>
      <w:r>
        <w:rPr>
          <w:rFonts w:hint="eastAsia" w:ascii="宋体" w:hAnsi="宋体" w:eastAsia="宋体" w:cs="宋体"/>
          <w:sz w:val="24"/>
          <w:szCs w:val="24"/>
        </w:rPr>
        <w:t>30%</w:t>
      </w:r>
      <w:r>
        <w:rPr>
          <w:rFonts w:hint="eastAsia" w:ascii="宋体" w:hAnsi="宋体" w:eastAsia="宋体" w:cs="宋体"/>
          <w:sz w:val="24"/>
          <w:szCs w:val="24"/>
        </w:rPr>
        <w:t xml:space="preserve">；汇算清缴年度研究开发费用总额占企业销售（营业）收入总额的比例不低于 </w:t>
      </w:r>
      <w:r>
        <w:rPr>
          <w:rFonts w:hint="eastAsia" w:ascii="宋体" w:hAnsi="宋体" w:eastAsia="宋体" w:cs="宋体"/>
          <w:sz w:val="24"/>
          <w:szCs w:val="24"/>
        </w:rPr>
        <w:t>8%</w:t>
      </w:r>
      <w:r>
        <w:rPr>
          <w:rFonts w:hint="eastAsia" w:ascii="宋体" w:hAnsi="宋体" w:eastAsia="宋体" w:cs="宋体"/>
          <w:sz w:val="24"/>
          <w:szCs w:val="24"/>
        </w:rPr>
        <w:t>；</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 xml:space="preserve">专业开发重点领域应用软件、经营管理类工业软件、公有云服务软件、嵌入式软件的企业，汇算清缴年度软件产品开发销售及相关信息技术服务（营业）收入不低于 </w:t>
      </w:r>
      <w:r>
        <w:rPr>
          <w:rFonts w:hint="eastAsia" w:ascii="宋体" w:hAnsi="宋体" w:eastAsia="宋体" w:cs="宋体"/>
          <w:sz w:val="24"/>
          <w:szCs w:val="24"/>
        </w:rPr>
        <w:t xml:space="preserve">5 </w:t>
      </w:r>
      <w:r>
        <w:rPr>
          <w:rFonts w:hint="eastAsia" w:ascii="宋体" w:hAnsi="宋体" w:eastAsia="宋体" w:cs="宋体"/>
          <w:sz w:val="24"/>
          <w:szCs w:val="24"/>
        </w:rPr>
        <w:t xml:space="preserve">亿元，应纳税所得额不低于 </w:t>
      </w:r>
      <w:r>
        <w:rPr>
          <w:rFonts w:hint="eastAsia" w:ascii="宋体" w:hAnsi="宋体" w:eastAsia="宋体" w:cs="宋体"/>
          <w:sz w:val="24"/>
          <w:szCs w:val="24"/>
        </w:rPr>
        <w:t xml:space="preserve">2500 </w:t>
      </w:r>
      <w:r>
        <w:rPr>
          <w:rFonts w:hint="eastAsia" w:ascii="宋体" w:hAnsi="宋体" w:eastAsia="宋体" w:cs="宋体"/>
          <w:sz w:val="24"/>
          <w:szCs w:val="24"/>
        </w:rPr>
        <w:t xml:space="preserve">万元；研究开发人员月平均数占企业月平均职工总数的比例不低于 </w:t>
      </w:r>
      <w:r>
        <w:rPr>
          <w:rFonts w:hint="eastAsia" w:ascii="宋体" w:hAnsi="宋体" w:eastAsia="宋体" w:cs="宋体"/>
          <w:sz w:val="24"/>
          <w:szCs w:val="24"/>
        </w:rPr>
        <w:t>30%</w:t>
      </w:r>
      <w:r>
        <w:rPr>
          <w:rFonts w:hint="eastAsia" w:ascii="宋体" w:hAnsi="宋体" w:eastAsia="宋体" w:cs="宋体"/>
          <w:sz w:val="24"/>
          <w:szCs w:val="24"/>
        </w:rPr>
        <w:t>；汇算清缴年度研究开发费用总额占企业销售</w:t>
      </w:r>
    </w:p>
    <w:p>
      <w:pPr>
        <w:spacing w:after="193" w:line="259" w:lineRule="auto"/>
        <w:ind w:left="-15" w:right="4" w:firstLine="0"/>
        <w:rPr>
          <w:rFonts w:hint="eastAsia" w:ascii="宋体" w:hAnsi="宋体" w:eastAsia="宋体" w:cs="宋体"/>
          <w:sz w:val="24"/>
          <w:szCs w:val="24"/>
        </w:rPr>
      </w:pPr>
      <w:r>
        <w:rPr>
          <w:rFonts w:hint="eastAsia" w:ascii="宋体" w:hAnsi="宋体" w:eastAsia="宋体" w:cs="宋体"/>
          <w:sz w:val="24"/>
          <w:szCs w:val="24"/>
        </w:rPr>
        <w:t xml:space="preserve">（营业）收入总额的比例不低于 </w:t>
      </w:r>
      <w:r>
        <w:rPr>
          <w:rFonts w:hint="eastAsia" w:ascii="宋体" w:hAnsi="宋体" w:eastAsia="宋体" w:cs="宋体"/>
          <w:sz w:val="24"/>
          <w:szCs w:val="24"/>
        </w:rPr>
        <w:t>7%</w:t>
      </w:r>
      <w:r>
        <w:rPr>
          <w:rFonts w:hint="eastAsia" w:ascii="宋体" w:hAnsi="宋体" w:eastAsia="宋体" w:cs="宋体"/>
          <w:sz w:val="24"/>
          <w:szCs w:val="24"/>
        </w:rPr>
        <w:t>。</w:t>
      </w:r>
    </w:p>
    <w:p>
      <w:pPr>
        <w:spacing w:after="0"/>
        <w:ind w:left="-15"/>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 xml:space="preserve">》第（六）条提及的集成电路线宽小于 </w:t>
      </w:r>
      <w:r>
        <w:rPr>
          <w:rFonts w:hint="eastAsia" w:ascii="宋体" w:hAnsi="宋体" w:eastAsia="宋体" w:cs="宋体"/>
          <w:sz w:val="24"/>
          <w:szCs w:val="24"/>
        </w:rPr>
        <w:t xml:space="preserve">65 </w:t>
      </w:r>
      <w:r>
        <w:rPr>
          <w:rFonts w:hint="eastAsia" w:ascii="宋体" w:hAnsi="宋体" w:eastAsia="宋体" w:cs="宋体"/>
          <w:sz w:val="24"/>
          <w:szCs w:val="24"/>
        </w:rPr>
        <w:t xml:space="preserve">纳米（含）的逻辑电路、存储器生产企业、线宽小于 </w:t>
      </w:r>
      <w:r>
        <w:rPr>
          <w:rFonts w:hint="eastAsia" w:ascii="宋体" w:hAnsi="宋体" w:eastAsia="宋体" w:cs="宋体"/>
          <w:sz w:val="24"/>
          <w:szCs w:val="24"/>
        </w:rPr>
        <w:t xml:space="preserve">0.25 </w:t>
      </w:r>
      <w:r>
        <w:rPr>
          <w:rFonts w:hint="eastAsia" w:ascii="宋体" w:hAnsi="宋体" w:eastAsia="宋体" w:cs="宋体"/>
          <w:sz w:val="24"/>
          <w:szCs w:val="24"/>
        </w:rPr>
        <w:t xml:space="preserve">微米（含）的特色工艺集成电路生产企业、集成电路线宽小于 </w:t>
      </w:r>
      <w:r>
        <w:rPr>
          <w:rFonts w:hint="eastAsia" w:ascii="宋体" w:hAnsi="宋体" w:eastAsia="宋体" w:cs="宋体"/>
          <w:sz w:val="24"/>
          <w:szCs w:val="24"/>
        </w:rPr>
        <w:t xml:space="preserve">0.5 </w:t>
      </w:r>
      <w:r>
        <w:rPr>
          <w:rFonts w:hint="eastAsia" w:ascii="宋体" w:hAnsi="宋体" w:eastAsia="宋体" w:cs="宋体"/>
          <w:sz w:val="24"/>
          <w:szCs w:val="24"/>
        </w:rPr>
        <w:t>微米（含）的化合物集成电路生产企业，以及财关税〔</w:t>
      </w:r>
      <w:r>
        <w:rPr>
          <w:rFonts w:hint="eastAsia" w:ascii="宋体" w:hAnsi="宋体" w:eastAsia="宋体" w:cs="宋体"/>
          <w:sz w:val="24"/>
          <w:szCs w:val="24"/>
        </w:rPr>
        <w:t>2021</w:t>
      </w:r>
      <w:r>
        <w:rPr>
          <w:rFonts w:hint="eastAsia" w:ascii="宋体" w:hAnsi="宋体" w:eastAsia="宋体" w:cs="宋体"/>
          <w:sz w:val="24"/>
          <w:szCs w:val="24"/>
        </w:rPr>
        <w:t>〕</w:t>
      </w:r>
      <w:r>
        <w:rPr>
          <w:rFonts w:hint="eastAsia" w:ascii="宋体" w:hAnsi="宋体" w:eastAsia="宋体" w:cs="宋体"/>
          <w:sz w:val="24"/>
          <w:szCs w:val="24"/>
        </w:rPr>
        <w:t xml:space="preserve">4 </w:t>
      </w:r>
      <w:r>
        <w:rPr>
          <w:rFonts w:hint="eastAsia" w:ascii="宋体" w:hAnsi="宋体" w:eastAsia="宋体" w:cs="宋体"/>
          <w:sz w:val="24"/>
          <w:szCs w:val="24"/>
        </w:rPr>
        <w:t>号文提及的集成电路产业的关键原材料、零配件（靶材、光刻胶、掩模版、封装载板、抛光垫、抛光液、</w:t>
      </w:r>
      <w:r>
        <w:rPr>
          <w:rFonts w:hint="eastAsia" w:ascii="宋体" w:hAnsi="宋体" w:eastAsia="宋体" w:cs="宋体"/>
          <w:sz w:val="24"/>
          <w:szCs w:val="24"/>
        </w:rPr>
        <w:t xml:space="preserve">8 </w:t>
      </w:r>
      <w:r>
        <w:rPr>
          <w:rFonts w:hint="eastAsia" w:ascii="宋体" w:hAnsi="宋体" w:eastAsia="宋体" w:cs="宋体"/>
          <w:sz w:val="24"/>
          <w:szCs w:val="24"/>
        </w:rPr>
        <w:t>英寸及以上硅单晶、</w:t>
      </w:r>
      <w:r>
        <w:rPr>
          <w:rFonts w:hint="eastAsia" w:ascii="宋体" w:hAnsi="宋体" w:eastAsia="宋体" w:cs="宋体"/>
          <w:sz w:val="24"/>
          <w:szCs w:val="24"/>
        </w:rPr>
        <w:t xml:space="preserve">8 </w:t>
      </w:r>
      <w:r>
        <w:rPr>
          <w:rFonts w:hint="eastAsia" w:ascii="宋体" w:hAnsi="宋体" w:eastAsia="宋体" w:cs="宋体"/>
          <w:sz w:val="24"/>
          <w:szCs w:val="24"/>
        </w:rPr>
        <w:t>英寸及以上硅片）生产企业享受税收优惠政策条件如下：</w:t>
      </w:r>
    </w:p>
    <w:p>
      <w:pPr>
        <w:numPr>
          <w:numId w:val="0"/>
        </w:numPr>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在中国境内（不包括港、澳、台地区）依法注册并具有独立法人资格的企业；</w:t>
      </w:r>
    </w:p>
    <w:p>
      <w:pPr>
        <w:numPr>
          <w:numId w:val="0"/>
        </w:numPr>
        <w:spacing w:after="192" w:line="259" w:lineRule="auto"/>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符合国家布局规划和产业政策；</w:t>
      </w:r>
    </w:p>
    <w:p>
      <w:pPr>
        <w:numPr>
          <w:numId w:val="0"/>
        </w:numPr>
        <w:spacing w:after="192" w:line="259" w:lineRule="auto"/>
        <w:ind w:right="4" w:rightChars="0"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具有保证产品生产的手段和能力；</w:t>
      </w:r>
    </w:p>
    <w:p>
      <w:pPr>
        <w:numPr>
          <w:numId w:val="0"/>
        </w:numPr>
        <w:ind w:right="4" w:rightChars="0"/>
        <w:rPr>
          <w:rFonts w:hint="eastAsia" w:ascii="宋体" w:hAnsi="宋体" w:eastAsia="宋体" w:cs="宋体"/>
          <w:sz w:val="24"/>
          <w:szCs w:val="24"/>
        </w:rPr>
      </w:pPr>
      <w:r>
        <w:rPr>
          <w:rFonts w:hint="eastAsia" w:ascii="宋体" w:hAnsi="宋体" w:eastAsia="宋体" w:cs="宋体"/>
          <w:sz w:val="24"/>
          <w:szCs w:val="24"/>
          <w:lang w:eastAsia="zh-CN"/>
        </w:rPr>
        <w:t>　　（四）</w:t>
      </w:r>
      <w:r>
        <w:rPr>
          <w:rFonts w:hint="eastAsia" w:ascii="宋体" w:hAnsi="宋体" w:eastAsia="宋体" w:cs="宋体"/>
          <w:sz w:val="24"/>
          <w:szCs w:val="24"/>
        </w:rPr>
        <w:t>汇算清缴年度未发生重大安全、重大质量事故或严重环境违法行为。</w:t>
      </w:r>
    </w:p>
    <w:p>
      <w:pPr>
        <w:spacing w:after="0"/>
        <w:ind w:left="-15"/>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》第（六）条提及的先进封装测试企业享受税收优惠政策条件如下：</w:t>
      </w:r>
    </w:p>
    <w:p>
      <w:pPr>
        <w:numPr>
          <w:numId w:val="0"/>
        </w:numPr>
        <w:ind w:right="4" w:rightChars="0"/>
        <w:rPr>
          <w:rFonts w:hint="eastAsia" w:ascii="宋体" w:hAnsi="宋体" w:eastAsia="宋体" w:cs="宋体"/>
          <w:sz w:val="24"/>
          <w:szCs w:val="24"/>
        </w:rPr>
      </w:pPr>
      <w:r>
        <w:rPr>
          <w:rFonts w:hint="eastAsia" w:ascii="宋体" w:hAnsi="宋体" w:eastAsia="宋体" w:cs="宋体"/>
          <w:sz w:val="24"/>
          <w:szCs w:val="24"/>
          <w:lang w:eastAsia="zh-CN"/>
        </w:rPr>
        <w:t>　　（一）</w:t>
      </w:r>
      <w:r>
        <w:rPr>
          <w:rFonts w:hint="eastAsia" w:ascii="宋体" w:hAnsi="宋体" w:eastAsia="宋体" w:cs="宋体"/>
          <w:sz w:val="24"/>
          <w:szCs w:val="24"/>
        </w:rPr>
        <w:t>在中国境内（不包括港、澳、台地区）依法注册并具有独立法人资格的企业；</w:t>
      </w:r>
    </w:p>
    <w:p>
      <w:pPr>
        <w:numPr>
          <w:numId w:val="0"/>
        </w:numPr>
        <w:spacing w:after="192" w:line="259" w:lineRule="auto"/>
        <w:ind w:right="4" w:rightChars="0"/>
        <w:rPr>
          <w:rFonts w:hint="eastAsia" w:ascii="宋体" w:hAnsi="宋体" w:eastAsia="宋体" w:cs="宋体"/>
          <w:sz w:val="24"/>
          <w:szCs w:val="24"/>
        </w:rPr>
      </w:pPr>
      <w:r>
        <w:rPr>
          <w:rFonts w:hint="eastAsia" w:ascii="宋体" w:hAnsi="宋体" w:eastAsia="宋体" w:cs="宋体"/>
          <w:sz w:val="24"/>
          <w:szCs w:val="24"/>
          <w:lang w:eastAsia="zh-CN"/>
        </w:rPr>
        <w:t>　　（二）</w:t>
      </w:r>
      <w:r>
        <w:rPr>
          <w:rFonts w:hint="eastAsia" w:ascii="宋体" w:hAnsi="宋体" w:eastAsia="宋体" w:cs="宋体"/>
          <w:sz w:val="24"/>
          <w:szCs w:val="24"/>
        </w:rPr>
        <w:t>符合国家布局规划和产业政策；</w:t>
      </w:r>
    </w:p>
    <w:p>
      <w:pPr>
        <w:numPr>
          <w:numId w:val="0"/>
        </w:numPr>
        <w:spacing w:after="1" w:line="387" w:lineRule="auto"/>
        <w:ind w:right="4" w:rightChars="0"/>
        <w:rPr>
          <w:rFonts w:hint="eastAsia" w:ascii="宋体" w:hAnsi="宋体" w:eastAsia="宋体" w:cs="宋体"/>
          <w:sz w:val="24"/>
          <w:szCs w:val="24"/>
        </w:rPr>
      </w:pPr>
      <w:r>
        <w:rPr>
          <w:rFonts w:hint="eastAsia" w:ascii="宋体" w:hAnsi="宋体" w:eastAsia="宋体" w:cs="宋体"/>
          <w:sz w:val="24"/>
          <w:szCs w:val="24"/>
          <w:lang w:eastAsia="zh-CN"/>
        </w:rPr>
        <w:t>　　（三）</w:t>
      </w:r>
      <w:r>
        <w:rPr>
          <w:rFonts w:hint="eastAsia" w:ascii="宋体" w:hAnsi="宋体" w:eastAsia="宋体" w:cs="宋体"/>
          <w:sz w:val="24"/>
          <w:szCs w:val="24"/>
        </w:rPr>
        <w:t>汇算清缴年度企业先进封装测试（晶圆级封装、系统级封装、</w:t>
      </w:r>
      <w:r>
        <w:rPr>
          <w:rFonts w:hint="eastAsia" w:ascii="宋体" w:hAnsi="宋体" w:eastAsia="宋体" w:cs="宋体"/>
          <w:sz w:val="24"/>
          <w:szCs w:val="24"/>
        </w:rPr>
        <w:t xml:space="preserve">2.5 </w:t>
      </w:r>
      <w:r>
        <w:rPr>
          <w:rFonts w:hint="eastAsia" w:ascii="宋体" w:hAnsi="宋体" w:eastAsia="宋体" w:cs="宋体"/>
          <w:sz w:val="24"/>
          <w:szCs w:val="24"/>
        </w:rPr>
        <w:t xml:space="preserve">维和 </w:t>
      </w:r>
      <w:r>
        <w:rPr>
          <w:rFonts w:hint="eastAsia" w:ascii="宋体" w:hAnsi="宋体" w:eastAsia="宋体" w:cs="宋体"/>
          <w:sz w:val="24"/>
          <w:szCs w:val="24"/>
        </w:rPr>
        <w:t xml:space="preserve">3 </w:t>
      </w:r>
      <w:r>
        <w:rPr>
          <w:rFonts w:hint="eastAsia" w:ascii="宋体" w:hAnsi="宋体" w:eastAsia="宋体" w:cs="宋体"/>
          <w:sz w:val="24"/>
          <w:szCs w:val="24"/>
        </w:rPr>
        <w:t xml:space="preserve">维封装）规划产能占总规划产能比例，按封装产品颗粒数或晶圆数（折合 </w:t>
      </w:r>
      <w:r>
        <w:rPr>
          <w:rFonts w:hint="eastAsia" w:ascii="宋体" w:hAnsi="宋体" w:eastAsia="宋体" w:cs="宋体"/>
          <w:sz w:val="24"/>
          <w:szCs w:val="24"/>
        </w:rPr>
        <w:t xml:space="preserve">8 </w:t>
      </w:r>
      <w:r>
        <w:rPr>
          <w:rFonts w:hint="eastAsia" w:ascii="宋体" w:hAnsi="宋体" w:eastAsia="宋体" w:cs="宋体"/>
          <w:sz w:val="24"/>
          <w:szCs w:val="24"/>
        </w:rPr>
        <w:t xml:space="preserve">英寸）计算不低于 </w:t>
      </w:r>
      <w:r>
        <w:rPr>
          <w:rFonts w:hint="eastAsia" w:ascii="宋体" w:hAnsi="宋体" w:eastAsia="宋体" w:cs="宋体"/>
          <w:sz w:val="24"/>
          <w:szCs w:val="24"/>
        </w:rPr>
        <w:t>40%</w:t>
      </w:r>
      <w:r>
        <w:rPr>
          <w:rFonts w:hint="eastAsia" w:ascii="宋体" w:hAnsi="宋体" w:eastAsia="宋体" w:cs="宋体"/>
          <w:sz w:val="24"/>
          <w:szCs w:val="24"/>
        </w:rPr>
        <w:t>；</w:t>
      </w:r>
    </w:p>
    <w:p>
      <w:pPr>
        <w:numPr>
          <w:numId w:val="0"/>
        </w:numPr>
        <w:spacing w:after="192" w:line="259" w:lineRule="auto"/>
        <w:ind w:right="4" w:rightChars="0"/>
        <w:rPr>
          <w:rFonts w:hint="eastAsia" w:ascii="宋体" w:hAnsi="宋体" w:eastAsia="宋体" w:cs="宋体"/>
          <w:sz w:val="24"/>
          <w:szCs w:val="24"/>
        </w:rPr>
      </w:pPr>
      <w:r>
        <w:rPr>
          <w:rFonts w:hint="eastAsia" w:ascii="宋体" w:hAnsi="宋体" w:eastAsia="宋体" w:cs="宋体"/>
          <w:sz w:val="24"/>
          <w:szCs w:val="24"/>
          <w:lang w:eastAsia="zh-CN"/>
        </w:rPr>
        <w:t>　　（四）</w:t>
      </w:r>
      <w:r>
        <w:rPr>
          <w:rFonts w:hint="eastAsia" w:ascii="宋体" w:hAnsi="宋体" w:eastAsia="宋体" w:cs="宋体"/>
          <w:sz w:val="24"/>
          <w:szCs w:val="24"/>
        </w:rPr>
        <w:t>具有保证产品生产的手段和能力；</w:t>
      </w:r>
    </w:p>
    <w:p>
      <w:pPr>
        <w:numPr>
          <w:numId w:val="0"/>
        </w:numPr>
        <w:ind w:right="4" w:rightChars="0"/>
        <w:rPr>
          <w:rFonts w:hint="eastAsia" w:ascii="宋体" w:hAnsi="宋体" w:eastAsia="宋体" w:cs="宋体"/>
          <w:sz w:val="24"/>
          <w:szCs w:val="24"/>
        </w:rPr>
      </w:pPr>
      <w:r>
        <w:rPr>
          <w:rFonts w:hint="eastAsia" w:ascii="宋体" w:hAnsi="宋体" w:eastAsia="宋体" w:cs="宋体"/>
          <w:sz w:val="24"/>
          <w:szCs w:val="24"/>
          <w:lang w:eastAsia="zh-CN"/>
        </w:rPr>
        <w:t>　　（五）</w:t>
      </w:r>
      <w:r>
        <w:rPr>
          <w:rFonts w:hint="eastAsia" w:ascii="宋体" w:hAnsi="宋体" w:eastAsia="宋体" w:cs="宋体"/>
          <w:sz w:val="24"/>
          <w:szCs w:val="24"/>
        </w:rPr>
        <w:t>汇算清缴年度未发生重大安全、重大质量事故或严重环境违法行为。</w:t>
      </w:r>
    </w:p>
    <w:p>
      <w:pPr>
        <w:spacing w:after="1" w:line="366" w:lineRule="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"http://ssfb86.com/index/News/detail/newsid/7259.html" </w:instrText>
      </w:r>
      <w:r>
        <w:rPr>
          <w:rFonts w:hint="eastAsia" w:ascii="宋体" w:hAnsi="宋体" w:eastAsia="宋体" w:cs="宋体"/>
          <w:sz w:val="24"/>
          <w:szCs w:val="24"/>
        </w:rPr>
        <w:fldChar w:fldCharType="separate"/>
      </w:r>
      <w:r>
        <w:rPr>
          <w:rStyle w:val="8"/>
          <w:rFonts w:hint="eastAsia" w:ascii="宋体" w:hAnsi="宋体" w:eastAsia="宋体" w:cs="宋体"/>
          <w:sz w:val="24"/>
          <w:szCs w:val="24"/>
        </w:rPr>
        <w:t>若干政策</w:t>
      </w:r>
      <w:r>
        <w:rPr>
          <w:rFonts w:hint="eastAsia" w:ascii="宋体" w:hAnsi="宋体" w:eastAsia="宋体" w:cs="宋体"/>
          <w:sz w:val="24"/>
          <w:szCs w:val="24"/>
        </w:rPr>
        <w:fldChar w:fldCharType="end"/>
      </w:r>
      <w:r>
        <w:rPr>
          <w:rFonts w:hint="eastAsia" w:ascii="宋体" w:hAnsi="宋体" w:eastAsia="宋体" w:cs="宋体"/>
          <w:sz w:val="24"/>
          <w:szCs w:val="24"/>
        </w:rPr>
        <w:t>》第（八）条提及的集成电路重大项目企业享受税收优惠政策条件，除承建企业应符合本通知第四、五条的相对应规定条件外，项目还应符合下列对应条件中的一项：</w:t>
      </w:r>
    </w:p>
    <w:p>
      <w:pPr>
        <w:pStyle w:val="3"/>
        <w:ind w:left="595"/>
        <w:rPr>
          <w:rFonts w:hint="eastAsia" w:ascii="宋体" w:hAnsi="宋体" w:eastAsia="宋体" w:cs="宋体"/>
          <w:sz w:val="24"/>
          <w:szCs w:val="24"/>
        </w:rPr>
      </w:pPr>
      <w:r>
        <w:rPr>
          <w:rFonts w:hint="eastAsia" w:ascii="宋体" w:hAnsi="宋体" w:eastAsia="宋体" w:cs="宋体"/>
          <w:sz w:val="24"/>
          <w:szCs w:val="24"/>
        </w:rPr>
        <w:t>（一）芯片制造类重大项目，需同时满足以下条件：</w:t>
      </w:r>
    </w:p>
    <w:p>
      <w:pPr>
        <w:spacing w:after="195" w:line="259" w:lineRule="auto"/>
        <w:ind w:left="600" w:right="4" w:firstLine="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符合国家布局规划和产业政策；</w:t>
      </w:r>
    </w:p>
    <w:p>
      <w:pPr>
        <w:spacing w:after="195" w:line="259" w:lineRule="auto"/>
        <w:ind w:left="600" w:right="4" w:firstLine="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对于不同工艺类型芯片制造项目，需分别满足以下条件：</w:t>
      </w:r>
    </w:p>
    <w:p>
      <w:pPr>
        <w:numPr>
          <w:numId w:val="0"/>
        </w:numPr>
        <w:spacing w:after="1" w:line="387" w:lineRule="auto"/>
        <w:ind w:right="141" w:rightChars="0"/>
        <w:jc w:val="both"/>
        <w:rPr>
          <w:rFonts w:hint="eastAsia" w:ascii="宋体" w:hAnsi="宋体" w:eastAsia="宋体" w:cs="宋体"/>
          <w:sz w:val="24"/>
          <w:szCs w:val="24"/>
        </w:rPr>
      </w:pPr>
      <w:r>
        <w:rPr>
          <w:rFonts w:hint="eastAsia" w:ascii="宋体" w:hAnsi="宋体" w:eastAsia="宋体" w:cs="宋体"/>
          <w:sz w:val="24"/>
          <w:szCs w:val="24"/>
          <w:lang w:eastAsia="zh-CN"/>
        </w:rPr>
        <w:t>　　（１）</w:t>
      </w:r>
      <w:r>
        <w:rPr>
          <w:rFonts w:hint="eastAsia" w:ascii="宋体" w:hAnsi="宋体" w:eastAsia="宋体" w:cs="宋体"/>
          <w:sz w:val="24"/>
          <w:szCs w:val="24"/>
        </w:rPr>
        <w:t xml:space="preserve">对于工艺线宽小于 </w:t>
      </w:r>
      <w:r>
        <w:rPr>
          <w:rFonts w:hint="eastAsia" w:ascii="宋体" w:hAnsi="宋体" w:eastAsia="宋体" w:cs="宋体"/>
          <w:sz w:val="24"/>
          <w:szCs w:val="24"/>
        </w:rPr>
        <w:t xml:space="preserve">65 </w:t>
      </w:r>
      <w:r>
        <w:rPr>
          <w:rFonts w:hint="eastAsia" w:ascii="宋体" w:hAnsi="宋体" w:eastAsia="宋体" w:cs="宋体"/>
          <w:sz w:val="24"/>
          <w:szCs w:val="24"/>
        </w:rPr>
        <w:t xml:space="preserve">纳米（含）的逻辑电路、存储器项目，固定资产总投资额需超过 </w:t>
      </w:r>
      <w:r>
        <w:rPr>
          <w:rFonts w:hint="eastAsia" w:ascii="宋体" w:hAnsi="宋体" w:eastAsia="宋体" w:cs="宋体"/>
          <w:sz w:val="24"/>
          <w:szCs w:val="24"/>
        </w:rPr>
        <w:t xml:space="preserve">80 </w:t>
      </w:r>
      <w:r>
        <w:rPr>
          <w:rFonts w:hint="eastAsia" w:ascii="宋体" w:hAnsi="宋体" w:eastAsia="宋体" w:cs="宋体"/>
          <w:sz w:val="24"/>
          <w:szCs w:val="24"/>
        </w:rPr>
        <w:t xml:space="preserve">亿元，规划月产能超过 </w:t>
      </w:r>
      <w:r>
        <w:rPr>
          <w:rFonts w:hint="eastAsia" w:ascii="宋体" w:hAnsi="宋体" w:eastAsia="宋体" w:cs="宋体"/>
          <w:sz w:val="24"/>
          <w:szCs w:val="24"/>
        </w:rPr>
        <w:t xml:space="preserve">1 </w:t>
      </w:r>
      <w:r>
        <w:rPr>
          <w:rFonts w:hint="eastAsia" w:ascii="宋体" w:hAnsi="宋体" w:eastAsia="宋体" w:cs="宋体"/>
          <w:sz w:val="24"/>
          <w:szCs w:val="24"/>
        </w:rPr>
        <w:t xml:space="preserve">万片（折合 </w:t>
      </w:r>
      <w:r>
        <w:rPr>
          <w:rFonts w:hint="eastAsia" w:ascii="宋体" w:hAnsi="宋体" w:eastAsia="宋体" w:cs="宋体"/>
          <w:sz w:val="24"/>
          <w:szCs w:val="24"/>
        </w:rPr>
        <w:t xml:space="preserve">12 </w:t>
      </w:r>
      <w:r>
        <w:rPr>
          <w:rFonts w:hint="eastAsia" w:ascii="宋体" w:hAnsi="宋体" w:eastAsia="宋体" w:cs="宋体"/>
          <w:sz w:val="24"/>
          <w:szCs w:val="24"/>
        </w:rPr>
        <w:t>英寸）；</w:t>
      </w:r>
    </w:p>
    <w:p>
      <w:pPr>
        <w:numPr>
          <w:numId w:val="0"/>
        </w:numPr>
        <w:spacing w:after="1" w:line="387" w:lineRule="auto"/>
        <w:ind w:right="141" w:rightChars="0"/>
        <w:jc w:val="both"/>
        <w:rPr>
          <w:rFonts w:hint="eastAsia" w:ascii="宋体" w:hAnsi="宋体" w:eastAsia="宋体" w:cs="宋体"/>
          <w:sz w:val="24"/>
          <w:szCs w:val="24"/>
        </w:rPr>
      </w:pPr>
      <w:r>
        <w:rPr>
          <w:rFonts w:hint="eastAsia" w:ascii="宋体" w:hAnsi="宋体" w:eastAsia="宋体" w:cs="宋体"/>
          <w:sz w:val="24"/>
          <w:szCs w:val="24"/>
          <w:lang w:eastAsia="zh-CN"/>
        </w:rPr>
        <w:t>　　（２）</w:t>
      </w:r>
      <w:r>
        <w:rPr>
          <w:rFonts w:hint="eastAsia" w:ascii="宋体" w:hAnsi="宋体" w:eastAsia="宋体" w:cs="宋体"/>
          <w:sz w:val="24"/>
          <w:szCs w:val="24"/>
        </w:rPr>
        <w:t xml:space="preserve">对于工艺线宽小于 </w:t>
      </w:r>
      <w:r>
        <w:rPr>
          <w:rFonts w:hint="eastAsia" w:ascii="宋体" w:hAnsi="宋体" w:eastAsia="宋体" w:cs="宋体"/>
          <w:sz w:val="24"/>
          <w:szCs w:val="24"/>
        </w:rPr>
        <w:t xml:space="preserve">0.25 </w:t>
      </w:r>
      <w:r>
        <w:rPr>
          <w:rFonts w:hint="eastAsia" w:ascii="宋体" w:hAnsi="宋体" w:eastAsia="宋体" w:cs="宋体"/>
          <w:sz w:val="24"/>
          <w:szCs w:val="24"/>
        </w:rPr>
        <w:t xml:space="preserve">微米（含）的模拟、数模混合、高压、射频、功率、光电集成、图像传感、微机电系统、绝缘体上硅工艺等特色芯片制造项目，固定资产总投资额超过 </w:t>
      </w:r>
      <w:r>
        <w:rPr>
          <w:rFonts w:hint="eastAsia" w:ascii="宋体" w:hAnsi="宋体" w:eastAsia="宋体" w:cs="宋体"/>
          <w:sz w:val="24"/>
          <w:szCs w:val="24"/>
        </w:rPr>
        <w:t xml:space="preserve">10 </w:t>
      </w:r>
      <w:r>
        <w:rPr>
          <w:rFonts w:hint="eastAsia" w:ascii="宋体" w:hAnsi="宋体" w:eastAsia="宋体" w:cs="宋体"/>
          <w:sz w:val="24"/>
          <w:szCs w:val="24"/>
        </w:rPr>
        <w:t xml:space="preserve">亿元，规划月产能超过 </w:t>
      </w:r>
      <w:r>
        <w:rPr>
          <w:rFonts w:hint="eastAsia" w:ascii="宋体" w:hAnsi="宋体" w:eastAsia="宋体" w:cs="宋体"/>
          <w:sz w:val="24"/>
          <w:szCs w:val="24"/>
        </w:rPr>
        <w:t xml:space="preserve">1 </w:t>
      </w:r>
      <w:r>
        <w:rPr>
          <w:rFonts w:hint="eastAsia" w:ascii="宋体" w:hAnsi="宋体" w:eastAsia="宋体" w:cs="宋体"/>
          <w:sz w:val="24"/>
          <w:szCs w:val="24"/>
        </w:rPr>
        <w:t xml:space="preserve">万片（折合 </w:t>
      </w:r>
      <w:r>
        <w:rPr>
          <w:rFonts w:hint="eastAsia" w:ascii="宋体" w:hAnsi="宋体" w:eastAsia="宋体" w:cs="宋体"/>
          <w:sz w:val="24"/>
          <w:szCs w:val="24"/>
        </w:rPr>
        <w:t xml:space="preserve">8 </w:t>
      </w:r>
      <w:r>
        <w:rPr>
          <w:rFonts w:hint="eastAsia" w:ascii="宋体" w:hAnsi="宋体" w:eastAsia="宋体" w:cs="宋体"/>
          <w:sz w:val="24"/>
          <w:szCs w:val="24"/>
        </w:rPr>
        <w:t>英寸）；</w:t>
      </w:r>
    </w:p>
    <w:p>
      <w:pPr>
        <w:numPr>
          <w:numId w:val="0"/>
        </w:numPr>
        <w:spacing w:after="1" w:line="387" w:lineRule="auto"/>
        <w:ind w:right="141" w:rightChars="0"/>
        <w:jc w:val="both"/>
        <w:rPr>
          <w:rFonts w:hint="eastAsia" w:ascii="宋体" w:hAnsi="宋体" w:eastAsia="宋体" w:cs="宋体"/>
          <w:sz w:val="24"/>
          <w:szCs w:val="24"/>
        </w:rPr>
      </w:pPr>
      <w:r>
        <w:rPr>
          <w:rFonts w:hint="eastAsia" w:ascii="宋体" w:hAnsi="宋体" w:eastAsia="宋体" w:cs="宋体"/>
          <w:sz w:val="24"/>
          <w:szCs w:val="24"/>
          <w:lang w:eastAsia="zh-CN"/>
        </w:rPr>
        <w:t>　　（３）</w:t>
      </w:r>
      <w:r>
        <w:rPr>
          <w:rFonts w:hint="eastAsia" w:ascii="宋体" w:hAnsi="宋体" w:eastAsia="宋体" w:cs="宋体"/>
          <w:sz w:val="24"/>
          <w:szCs w:val="24"/>
        </w:rPr>
        <w:t xml:space="preserve">对于工艺线宽小于 </w:t>
      </w:r>
      <w:r>
        <w:rPr>
          <w:rFonts w:hint="eastAsia" w:ascii="宋体" w:hAnsi="宋体" w:eastAsia="宋体" w:cs="宋体"/>
          <w:sz w:val="24"/>
          <w:szCs w:val="24"/>
        </w:rPr>
        <w:t xml:space="preserve">0.5 </w:t>
      </w:r>
      <w:r>
        <w:rPr>
          <w:rFonts w:hint="eastAsia" w:ascii="宋体" w:hAnsi="宋体" w:eastAsia="宋体" w:cs="宋体"/>
          <w:sz w:val="24"/>
          <w:szCs w:val="24"/>
        </w:rPr>
        <w:t xml:space="preserve">微米（含）的基于化合物集成电路制造项目，固定资产总投资额超过 </w:t>
      </w:r>
      <w:r>
        <w:rPr>
          <w:rFonts w:hint="eastAsia" w:ascii="宋体" w:hAnsi="宋体" w:eastAsia="宋体" w:cs="宋体"/>
          <w:sz w:val="24"/>
          <w:szCs w:val="24"/>
        </w:rPr>
        <w:t xml:space="preserve">10 </w:t>
      </w:r>
      <w:r>
        <w:rPr>
          <w:rFonts w:hint="eastAsia" w:ascii="宋体" w:hAnsi="宋体" w:eastAsia="宋体" w:cs="宋体"/>
          <w:sz w:val="24"/>
          <w:szCs w:val="24"/>
        </w:rPr>
        <w:t xml:space="preserve">亿元，规划月产能超过 </w:t>
      </w:r>
      <w:r>
        <w:rPr>
          <w:rFonts w:hint="eastAsia" w:ascii="宋体" w:hAnsi="宋体" w:eastAsia="宋体" w:cs="宋体"/>
          <w:sz w:val="24"/>
          <w:szCs w:val="24"/>
        </w:rPr>
        <w:t xml:space="preserve">1 </w:t>
      </w:r>
      <w:r>
        <w:rPr>
          <w:rFonts w:hint="eastAsia" w:ascii="宋体" w:hAnsi="宋体" w:eastAsia="宋体" w:cs="宋体"/>
          <w:sz w:val="24"/>
          <w:szCs w:val="24"/>
        </w:rPr>
        <w:t xml:space="preserve">万片（折合 </w:t>
      </w:r>
      <w:r>
        <w:rPr>
          <w:rFonts w:hint="eastAsia" w:ascii="宋体" w:hAnsi="宋体" w:eastAsia="宋体" w:cs="宋体"/>
          <w:sz w:val="24"/>
          <w:szCs w:val="24"/>
        </w:rPr>
        <w:t xml:space="preserve">6 </w:t>
      </w:r>
      <w:r>
        <w:rPr>
          <w:rFonts w:hint="eastAsia" w:ascii="宋体" w:hAnsi="宋体" w:eastAsia="宋体" w:cs="宋体"/>
          <w:sz w:val="24"/>
          <w:szCs w:val="24"/>
        </w:rPr>
        <w:t>英寸）。</w:t>
      </w:r>
    </w:p>
    <w:p>
      <w:pPr>
        <w:pStyle w:val="3"/>
        <w:ind w:left="595"/>
        <w:rPr>
          <w:rFonts w:hint="eastAsia" w:ascii="宋体" w:hAnsi="宋体" w:eastAsia="宋体" w:cs="宋体"/>
          <w:sz w:val="24"/>
          <w:szCs w:val="24"/>
        </w:rPr>
      </w:pPr>
      <w:r>
        <w:rPr>
          <w:rFonts w:hint="eastAsia" w:ascii="宋体" w:hAnsi="宋体" w:eastAsia="宋体" w:cs="宋体"/>
          <w:sz w:val="24"/>
          <w:szCs w:val="24"/>
        </w:rPr>
        <w:t>（二）先进封装测试类重大项目，需同时满足以下条件：</w:t>
      </w:r>
    </w:p>
    <w:p>
      <w:pPr>
        <w:numPr>
          <w:numId w:val="0"/>
        </w:numPr>
        <w:spacing w:after="195" w:line="259" w:lineRule="auto"/>
        <w:ind w:right="4" w:rightChars="0"/>
        <w:rPr>
          <w:rFonts w:hint="eastAsia" w:ascii="宋体" w:hAnsi="宋体" w:eastAsia="宋体" w:cs="宋体"/>
          <w:sz w:val="24"/>
          <w:szCs w:val="24"/>
        </w:rPr>
      </w:pPr>
      <w:r>
        <w:rPr>
          <w:rFonts w:hint="eastAsia" w:ascii="宋体" w:hAnsi="宋体" w:eastAsia="宋体" w:cs="宋体"/>
          <w:sz w:val="24"/>
          <w:szCs w:val="24"/>
          <w:lang w:eastAsia="zh-CN"/>
        </w:rPr>
        <w:t>　　１、</w:t>
      </w:r>
      <w:r>
        <w:rPr>
          <w:rFonts w:hint="eastAsia" w:ascii="宋体" w:hAnsi="宋体" w:eastAsia="宋体" w:cs="宋体"/>
          <w:sz w:val="24"/>
          <w:szCs w:val="24"/>
        </w:rPr>
        <w:t>符合国家布局规划和产业政策；</w:t>
      </w:r>
    </w:p>
    <w:p>
      <w:pPr>
        <w:numPr>
          <w:numId w:val="0"/>
        </w:numPr>
        <w:spacing w:after="196" w:line="259" w:lineRule="auto"/>
        <w:ind w:right="4" w:rightChars="0"/>
        <w:rPr>
          <w:rFonts w:hint="eastAsia" w:ascii="宋体" w:hAnsi="宋体" w:eastAsia="宋体" w:cs="宋体"/>
          <w:sz w:val="24"/>
          <w:szCs w:val="24"/>
        </w:rPr>
      </w:pPr>
      <w:r>
        <w:rPr>
          <w:rFonts w:hint="eastAsia" w:ascii="宋体" w:hAnsi="宋体" w:eastAsia="宋体" w:cs="宋体"/>
          <w:sz w:val="24"/>
          <w:szCs w:val="24"/>
          <w:lang w:eastAsia="zh-CN"/>
        </w:rPr>
        <w:t>　　２、</w:t>
      </w:r>
      <w:r>
        <w:rPr>
          <w:rFonts w:hint="eastAsia" w:ascii="宋体" w:hAnsi="宋体" w:eastAsia="宋体" w:cs="宋体"/>
          <w:sz w:val="24"/>
          <w:szCs w:val="24"/>
        </w:rPr>
        <w:t xml:space="preserve">固定资产总投资额超过 </w:t>
      </w:r>
      <w:r>
        <w:rPr>
          <w:rFonts w:hint="eastAsia" w:ascii="宋体" w:hAnsi="宋体" w:eastAsia="宋体" w:cs="宋体"/>
          <w:sz w:val="24"/>
          <w:szCs w:val="24"/>
        </w:rPr>
        <w:t xml:space="preserve">10 </w:t>
      </w:r>
      <w:r>
        <w:rPr>
          <w:rFonts w:hint="eastAsia" w:ascii="宋体" w:hAnsi="宋体" w:eastAsia="宋体" w:cs="宋体"/>
          <w:sz w:val="24"/>
          <w:szCs w:val="24"/>
        </w:rPr>
        <w:t>亿元；</w:t>
      </w:r>
    </w:p>
    <w:p>
      <w:pPr>
        <w:numPr>
          <w:numId w:val="0"/>
        </w:numPr>
        <w:ind w:right="4" w:rightChars="0"/>
        <w:rPr>
          <w:rFonts w:hint="eastAsia" w:ascii="宋体" w:hAnsi="宋体" w:eastAsia="宋体" w:cs="宋体"/>
          <w:sz w:val="24"/>
          <w:szCs w:val="24"/>
        </w:rPr>
      </w:pPr>
      <w:r>
        <w:rPr>
          <w:rFonts w:hint="eastAsia" w:ascii="宋体" w:hAnsi="宋体" w:eastAsia="宋体" w:cs="宋体"/>
          <w:sz w:val="24"/>
          <w:szCs w:val="24"/>
          <w:lang w:eastAsia="zh-CN"/>
        </w:rPr>
        <w:t>　　３、</w:t>
      </w:r>
      <w:bookmarkStart w:id="0" w:name="_GoBack"/>
      <w:bookmarkEnd w:id="0"/>
      <w:r>
        <w:rPr>
          <w:rFonts w:hint="eastAsia" w:ascii="宋体" w:hAnsi="宋体" w:eastAsia="宋体" w:cs="宋体"/>
          <w:sz w:val="24"/>
          <w:szCs w:val="24"/>
        </w:rPr>
        <w:t xml:space="preserve">封装规划年产能超过 </w:t>
      </w:r>
      <w:r>
        <w:rPr>
          <w:rFonts w:hint="eastAsia" w:ascii="宋体" w:hAnsi="宋体" w:eastAsia="宋体" w:cs="宋体"/>
          <w:sz w:val="24"/>
          <w:szCs w:val="24"/>
        </w:rPr>
        <w:t xml:space="preserve">10 </w:t>
      </w:r>
      <w:r>
        <w:rPr>
          <w:rFonts w:hint="eastAsia" w:ascii="宋体" w:hAnsi="宋体" w:eastAsia="宋体" w:cs="宋体"/>
          <w:sz w:val="24"/>
          <w:szCs w:val="24"/>
        </w:rPr>
        <w:t xml:space="preserve">亿颗芯片或 </w:t>
      </w:r>
      <w:r>
        <w:rPr>
          <w:rFonts w:hint="eastAsia" w:ascii="宋体" w:hAnsi="宋体" w:eastAsia="宋体" w:cs="宋体"/>
          <w:sz w:val="24"/>
          <w:szCs w:val="24"/>
        </w:rPr>
        <w:t xml:space="preserve">50 </w:t>
      </w:r>
      <w:r>
        <w:rPr>
          <w:rFonts w:hint="eastAsia" w:ascii="宋体" w:hAnsi="宋体" w:eastAsia="宋体" w:cs="宋体"/>
          <w:sz w:val="24"/>
          <w:szCs w:val="24"/>
        </w:rPr>
        <w:t xml:space="preserve">万片晶圆（折合 </w:t>
      </w:r>
      <w:r>
        <w:rPr>
          <w:rFonts w:hint="eastAsia" w:ascii="宋体" w:hAnsi="宋体" w:eastAsia="宋体" w:cs="宋体"/>
          <w:sz w:val="24"/>
          <w:szCs w:val="24"/>
        </w:rPr>
        <w:t xml:space="preserve">8 </w:t>
      </w:r>
      <w:r>
        <w:rPr>
          <w:rFonts w:hint="eastAsia" w:ascii="宋体" w:hAnsi="宋体" w:eastAsia="宋体" w:cs="宋体"/>
          <w:sz w:val="24"/>
          <w:szCs w:val="24"/>
        </w:rPr>
        <w:t>英寸）。</w:t>
      </w:r>
    </w:p>
    <w:sectPr>
      <w:pgSz w:w="11906" w:h="16838"/>
      <w:pgMar w:top="2184" w:right="1461" w:bottom="1954" w:left="161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87"/>
    <w:rsid w:val="002941C2"/>
    <w:rsid w:val="007D115F"/>
    <w:rsid w:val="00AA0687"/>
    <w:rsid w:val="53C1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86" w:lineRule="auto"/>
      <w:ind w:firstLine="590"/>
    </w:pPr>
    <w:rPr>
      <w:rFonts w:ascii="微软雅黑" w:hAnsi="微软雅黑" w:eastAsia="微软雅黑" w:cs="微软雅黑"/>
      <w:color w:val="000000"/>
      <w:kern w:val="2"/>
      <w:sz w:val="30"/>
      <w:szCs w:val="22"/>
      <w:lang w:val="en-US" w:eastAsia="zh-CN" w:bidi="ar-SA"/>
    </w:rPr>
  </w:style>
  <w:style w:type="paragraph" w:styleId="2">
    <w:name w:val="heading 1"/>
    <w:next w:val="1"/>
    <w:link w:val="10"/>
    <w:qFormat/>
    <w:uiPriority w:val="9"/>
    <w:pPr>
      <w:keepNext/>
      <w:keepLines/>
      <w:spacing w:after="701" w:line="259" w:lineRule="auto"/>
      <w:ind w:right="156"/>
      <w:jc w:val="center"/>
      <w:outlineLvl w:val="0"/>
    </w:pPr>
    <w:rPr>
      <w:rFonts w:ascii="微软雅黑" w:hAnsi="微软雅黑" w:eastAsia="微软雅黑" w:cs="微软雅黑"/>
      <w:color w:val="000000"/>
      <w:kern w:val="2"/>
      <w:sz w:val="36"/>
      <w:szCs w:val="22"/>
      <w:lang w:val="en-US" w:eastAsia="zh-CN" w:bidi="ar-SA"/>
    </w:rPr>
  </w:style>
  <w:style w:type="paragraph" w:styleId="3">
    <w:name w:val="heading 2"/>
    <w:next w:val="1"/>
    <w:link w:val="9"/>
    <w:unhideWhenUsed/>
    <w:qFormat/>
    <w:uiPriority w:val="9"/>
    <w:pPr>
      <w:keepNext/>
      <w:keepLines/>
      <w:spacing w:after="194" w:line="259" w:lineRule="auto"/>
      <w:ind w:left="610" w:hanging="10"/>
      <w:outlineLvl w:val="1"/>
    </w:pPr>
    <w:rPr>
      <w:rFonts w:ascii="微软雅黑" w:hAnsi="微软雅黑" w:eastAsia="微软雅黑" w:cs="微软雅黑"/>
      <w:color w:val="000000"/>
      <w:kern w:val="2"/>
      <w:sz w:val="30"/>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spacing w:line="240" w:lineRule="auto"/>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标题 2 字符"/>
    <w:link w:val="3"/>
    <w:qFormat/>
    <w:uiPriority w:val="0"/>
    <w:rPr>
      <w:rFonts w:ascii="微软雅黑" w:hAnsi="微软雅黑" w:eastAsia="微软雅黑" w:cs="微软雅黑"/>
      <w:color w:val="000000"/>
      <w:sz w:val="30"/>
    </w:rPr>
  </w:style>
  <w:style w:type="character" w:customStyle="1" w:styleId="10">
    <w:name w:val="标题 1 字符"/>
    <w:link w:val="2"/>
    <w:uiPriority w:val="0"/>
    <w:rPr>
      <w:rFonts w:ascii="微软雅黑" w:hAnsi="微软雅黑" w:eastAsia="微软雅黑" w:cs="微软雅黑"/>
      <w:color w:val="000000"/>
      <w:sz w:val="36"/>
    </w:rPr>
  </w:style>
  <w:style w:type="character" w:customStyle="1" w:styleId="11">
    <w:name w:val="页眉 字符"/>
    <w:basedOn w:val="7"/>
    <w:link w:val="5"/>
    <w:uiPriority w:val="99"/>
    <w:rPr>
      <w:rFonts w:ascii="微软雅黑" w:hAnsi="微软雅黑" w:eastAsia="微软雅黑" w:cs="微软雅黑"/>
      <w:color w:val="000000"/>
      <w:sz w:val="18"/>
      <w:szCs w:val="18"/>
    </w:rPr>
  </w:style>
  <w:style w:type="character" w:customStyle="1" w:styleId="12">
    <w:name w:val="页脚 字符"/>
    <w:basedOn w:val="7"/>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467</Words>
  <Characters>2667</Characters>
  <Lines>22</Lines>
  <Paragraphs>6</Paragraphs>
  <TotalTime>5</TotalTime>
  <ScaleCrop>false</ScaleCrop>
  <LinksUpToDate>false</LinksUpToDate>
  <CharactersWithSpaces>3128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2022-03-16T14:23:00Z</dcterms:created>
  <dc:creator>A2949</dc:creator>
  <cp:lastModifiedBy>默默</cp:lastModifiedBy>
  <dcterms:modified xsi:type="dcterms:W3CDTF">2022-03-17T22:45:13Z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