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i w:val="0"/>
          <w:caps w:val="0"/>
          <w:color w:val="C55A11" w:themeColor="accent2" w:themeShade="BF"/>
          <w:spacing w:val="0"/>
          <w:sz w:val="44"/>
          <w:szCs w:val="44"/>
          <w:shd w:val="clear" w:fill="FFFFFF"/>
        </w:rPr>
      </w:pPr>
      <w:r>
        <w:rPr>
          <w:rFonts w:hint="eastAsia" w:ascii="宋体" w:hAnsi="宋体" w:eastAsia="宋体" w:cs="宋体"/>
          <w:b/>
          <w:i w:val="0"/>
          <w:caps w:val="0"/>
          <w:color w:val="C55A11" w:themeColor="accent2" w:themeShade="BF"/>
          <w:spacing w:val="0"/>
          <w:sz w:val="44"/>
          <w:szCs w:val="44"/>
          <w:shd w:val="clear" w:fill="FFFFFF"/>
        </w:rPr>
        <w:t>关于进一步实施小微企业所得税优惠政策的公告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i w:val="0"/>
          <w:caps w:val="0"/>
          <w:color w:val="323534"/>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jc w:val="center"/>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"http://ssfb86.com/index/News/detail/newsid/10258.html" </w:instrText>
      </w:r>
      <w:r>
        <w:rPr>
          <w:rFonts w:hint="eastAsia" w:ascii="宋体" w:hAnsi="宋体" w:eastAsia="宋体" w:cs="宋体"/>
          <w:i w:val="0"/>
          <w:caps w:val="0"/>
          <w:color w:val="333333"/>
          <w:spacing w:val="0"/>
          <w:sz w:val="24"/>
          <w:szCs w:val="24"/>
          <w:shd w:val="clear" w:fill="FFFFFF"/>
        </w:rPr>
        <w:fldChar w:fldCharType="separate"/>
      </w:r>
      <w:r>
        <w:rPr>
          <w:rStyle w:val="8"/>
          <w:rFonts w:hint="eastAsia" w:ascii="宋体" w:hAnsi="宋体" w:eastAsia="宋体" w:cs="宋体"/>
          <w:i w:val="0"/>
          <w:caps w:val="0"/>
          <w:color w:val="333333"/>
          <w:spacing w:val="0"/>
          <w:sz w:val="24"/>
          <w:szCs w:val="24"/>
          <w:shd w:val="clear" w:fill="FFFFFF"/>
        </w:rPr>
        <w:t>财政部 税务总局公告2022年第13号</w:t>
      </w:r>
      <w:r>
        <w:rPr>
          <w:rFonts w:hint="eastAsia" w:ascii="宋体" w:hAnsi="宋体" w:eastAsia="宋体" w:cs="宋体"/>
          <w:i w:val="0"/>
          <w:caps w:val="0"/>
          <w:color w:val="333333"/>
          <w:spacing w:val="0"/>
          <w:sz w:val="24"/>
          <w:szCs w:val="24"/>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i w:val="0"/>
          <w:caps w:val="0"/>
          <w:color w:val="DF0000"/>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为进一步支持小微企业发展，现将有关税收政策公告如下：</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rPr>
        <w:t>一、</w:t>
      </w:r>
      <w:r>
        <w:rPr>
          <w:rFonts w:hint="eastAsia"/>
          <w:sz w:val="24"/>
          <w:szCs w:val="24"/>
          <w:lang w:eastAsia="zh-CN"/>
        </w:rPr>
        <w:t>【政策内容】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对小型微利企业年应纳税所得额超过100万元但不超过300万元的部分，减按25%计入应纳税所得额，按20%的税率缴纳企业所得税。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bdr w:val="none" w:color="auto" w:sz="0" w:space="0"/>
          <w:shd w:val="clear" w:fill="FFFFFF"/>
          <w:lang w:eastAsia="zh-CN"/>
        </w:rPr>
      </w:pPr>
      <w:r>
        <w:rPr>
          <w:rFonts w:hint="eastAsia" w:ascii="楷体" w:hAnsi="楷体" w:eastAsia="楷体" w:cs="楷体"/>
          <w:color w:val="0070C0"/>
          <w:sz w:val="24"/>
          <w:szCs w:val="24"/>
          <w:lang w:eastAsia="zh-CN"/>
        </w:rPr>
        <w:t>【提示：根据本文，结合</w:t>
      </w:r>
      <w:r>
        <w:rPr>
          <w:rFonts w:hint="eastAsia" w:ascii="楷体" w:hAnsi="楷体" w:eastAsia="楷体" w:cs="楷体"/>
          <w:i w:val="0"/>
          <w:caps w:val="0"/>
          <w:color w:val="0070C0"/>
          <w:spacing w:val="0"/>
          <w:sz w:val="24"/>
          <w:szCs w:val="24"/>
          <w:bdr w:val="none" w:color="auto" w:sz="0" w:space="0"/>
          <w:shd w:val="clear" w:fill="FFFFFF"/>
        </w:rPr>
        <w:t>《</w:t>
      </w:r>
      <w:r>
        <w:rPr>
          <w:rFonts w:hint="eastAsia" w:ascii="楷体" w:hAnsi="楷体" w:eastAsia="楷体" w:cs="楷体"/>
          <w:i w:val="0"/>
          <w:caps w:val="0"/>
          <w:color w:val="0070C0"/>
          <w:spacing w:val="0"/>
          <w:sz w:val="24"/>
          <w:szCs w:val="24"/>
          <w:u w:val="single"/>
          <w:bdr w:val="none" w:color="auto" w:sz="0" w:space="0"/>
          <w:shd w:val="clear" w:fill="FFFFFF"/>
        </w:rPr>
        <w:fldChar w:fldCharType="begin"/>
      </w:r>
      <w:r>
        <w:rPr>
          <w:rFonts w:hint="eastAsia" w:ascii="楷体" w:hAnsi="楷体" w:eastAsia="楷体" w:cs="楷体"/>
          <w:i w:val="0"/>
          <w:caps w:val="0"/>
          <w:color w:val="0070C0"/>
          <w:spacing w:val="0"/>
          <w:sz w:val="24"/>
          <w:szCs w:val="24"/>
          <w:u w:val="single"/>
          <w:bdr w:val="none" w:color="auto" w:sz="0" w:space="0"/>
          <w:shd w:val="clear" w:fill="FFFFFF"/>
        </w:rPr>
        <w:instrText xml:space="preserve"> HYPERLINK "http://ssfb86.com/index/News/detail/newsid/575.html" </w:instrText>
      </w:r>
      <w:r>
        <w:rPr>
          <w:rFonts w:hint="eastAsia" w:ascii="楷体" w:hAnsi="楷体" w:eastAsia="楷体" w:cs="楷体"/>
          <w:i w:val="0"/>
          <w:caps w:val="0"/>
          <w:color w:val="0070C0"/>
          <w:spacing w:val="0"/>
          <w:sz w:val="24"/>
          <w:szCs w:val="24"/>
          <w:u w:val="single"/>
          <w:bdr w:val="none" w:color="auto" w:sz="0" w:space="0"/>
          <w:shd w:val="clear" w:fill="FFFFFF"/>
        </w:rPr>
        <w:fldChar w:fldCharType="separate"/>
      </w:r>
      <w:r>
        <w:rPr>
          <w:rStyle w:val="8"/>
          <w:rFonts w:hint="eastAsia" w:ascii="楷体" w:hAnsi="楷体" w:eastAsia="楷体" w:cs="楷体"/>
          <w:i w:val="0"/>
          <w:caps w:val="0"/>
          <w:color w:val="0070C0"/>
          <w:spacing w:val="0"/>
          <w:sz w:val="24"/>
          <w:szCs w:val="24"/>
          <w:u w:val="single"/>
          <w:bdr w:val="none" w:color="auto" w:sz="0" w:space="0"/>
          <w:shd w:val="clear" w:fill="FFFFFF"/>
        </w:rPr>
        <w:t>企业所得税法</w:t>
      </w:r>
      <w:r>
        <w:rPr>
          <w:rFonts w:hint="eastAsia" w:ascii="楷体" w:hAnsi="楷体" w:eastAsia="楷体" w:cs="楷体"/>
          <w:i w:val="0"/>
          <w:caps w:val="0"/>
          <w:color w:val="0070C0"/>
          <w:spacing w:val="0"/>
          <w:sz w:val="24"/>
          <w:szCs w:val="24"/>
          <w:u w:val="single"/>
          <w:bdr w:val="none" w:color="auto" w:sz="0" w:space="0"/>
          <w:shd w:val="clear" w:fill="FFFFFF"/>
        </w:rPr>
        <w:fldChar w:fldCharType="end"/>
      </w:r>
      <w:r>
        <w:rPr>
          <w:rFonts w:hint="eastAsia" w:ascii="楷体" w:hAnsi="楷体" w:eastAsia="楷体" w:cs="楷体"/>
          <w:i w:val="0"/>
          <w:caps w:val="0"/>
          <w:color w:val="0070C0"/>
          <w:spacing w:val="0"/>
          <w:sz w:val="24"/>
          <w:szCs w:val="24"/>
          <w:bdr w:val="none" w:color="auto" w:sz="0" w:space="0"/>
          <w:shd w:val="clear" w:fill="FFFFFF"/>
        </w:rPr>
        <w:t>》第二十八条第一款</w:t>
      </w:r>
      <w:r>
        <w:rPr>
          <w:rFonts w:hint="eastAsia" w:ascii="楷体" w:hAnsi="楷体" w:eastAsia="楷体" w:cs="楷体"/>
          <w:i w:val="0"/>
          <w:caps w:val="0"/>
          <w:color w:val="0070C0"/>
          <w:spacing w:val="0"/>
          <w:sz w:val="24"/>
          <w:szCs w:val="24"/>
          <w:bdr w:val="none" w:color="auto" w:sz="0" w:space="0"/>
          <w:shd w:val="clear" w:fill="FFFFFF"/>
          <w:lang w:eastAsia="zh-CN"/>
        </w:rPr>
        <w:t>、</w:t>
      </w:r>
      <w:r>
        <w:rPr>
          <w:rFonts w:hint="eastAsia" w:ascii="楷体" w:hAnsi="楷体" w:eastAsia="楷体" w:cs="楷体"/>
          <w:i w:val="0"/>
          <w:caps w:val="0"/>
          <w:color w:val="0070C0"/>
          <w:spacing w:val="0"/>
          <w:sz w:val="24"/>
          <w:szCs w:val="24"/>
          <w:u w:val="single"/>
          <w:bdr w:val="none" w:color="auto" w:sz="0" w:space="0"/>
        </w:rPr>
        <w:fldChar w:fldCharType="begin"/>
      </w:r>
      <w:r>
        <w:rPr>
          <w:rFonts w:hint="eastAsia" w:ascii="楷体" w:hAnsi="楷体" w:eastAsia="楷体" w:cs="楷体"/>
          <w:i w:val="0"/>
          <w:caps w:val="0"/>
          <w:color w:val="0070C0"/>
          <w:spacing w:val="0"/>
          <w:sz w:val="24"/>
          <w:szCs w:val="24"/>
          <w:u w:val="single"/>
          <w:bdr w:val="none" w:color="auto" w:sz="0" w:space="0"/>
        </w:rPr>
        <w:instrText xml:space="preserve"> HYPERLINK "http://ssfb86.com/index/News/detail/newsid/215.html" </w:instrText>
      </w:r>
      <w:r>
        <w:rPr>
          <w:rFonts w:hint="eastAsia" w:ascii="楷体" w:hAnsi="楷体" w:eastAsia="楷体" w:cs="楷体"/>
          <w:i w:val="0"/>
          <w:caps w:val="0"/>
          <w:color w:val="0070C0"/>
          <w:spacing w:val="0"/>
          <w:sz w:val="24"/>
          <w:szCs w:val="24"/>
          <w:u w:val="single"/>
          <w:bdr w:val="none" w:color="auto" w:sz="0" w:space="0"/>
        </w:rPr>
        <w:fldChar w:fldCharType="separate"/>
      </w:r>
      <w:r>
        <w:rPr>
          <w:rStyle w:val="8"/>
          <w:rFonts w:hint="eastAsia" w:ascii="楷体" w:hAnsi="楷体" w:eastAsia="楷体" w:cs="楷体"/>
          <w:i w:val="0"/>
          <w:caps w:val="0"/>
          <w:color w:val="0070C0"/>
          <w:spacing w:val="0"/>
          <w:sz w:val="24"/>
          <w:szCs w:val="24"/>
          <w:u w:val="single"/>
          <w:bdr w:val="none" w:color="auto" w:sz="0" w:space="0"/>
        </w:rPr>
        <w:t>财税〔2019〕13号</w:t>
      </w:r>
      <w:r>
        <w:rPr>
          <w:rFonts w:hint="eastAsia" w:ascii="楷体" w:hAnsi="楷体" w:eastAsia="楷体" w:cs="楷体"/>
          <w:i w:val="0"/>
          <w:caps w:val="0"/>
          <w:color w:val="0070C0"/>
          <w:spacing w:val="0"/>
          <w:sz w:val="24"/>
          <w:szCs w:val="24"/>
          <w:u w:val="single"/>
          <w:bdr w:val="none" w:color="auto" w:sz="0" w:space="0"/>
        </w:rPr>
        <w:fldChar w:fldCharType="end"/>
      </w:r>
      <w:r>
        <w:rPr>
          <w:rFonts w:hint="eastAsia" w:ascii="楷体" w:hAnsi="楷体" w:eastAsia="楷体" w:cs="楷体"/>
          <w:i w:val="0"/>
          <w:caps w:val="0"/>
          <w:color w:val="0070C0"/>
          <w:spacing w:val="0"/>
          <w:sz w:val="24"/>
          <w:szCs w:val="24"/>
          <w:bdr w:val="none" w:color="auto" w:sz="0" w:space="0"/>
        </w:rPr>
        <w:t>第二条第一款</w:t>
      </w:r>
      <w:r>
        <w:rPr>
          <w:rFonts w:hint="eastAsia" w:ascii="楷体" w:hAnsi="楷体" w:eastAsia="楷体" w:cs="楷体"/>
          <w:i w:val="0"/>
          <w:caps w:val="0"/>
          <w:color w:val="0070C0"/>
          <w:spacing w:val="0"/>
          <w:sz w:val="24"/>
          <w:szCs w:val="24"/>
          <w:bdr w:val="none" w:color="auto" w:sz="0" w:space="0"/>
          <w:lang w:eastAsia="zh-CN"/>
        </w:rPr>
        <w:t>、</w:t>
      </w:r>
      <w:r>
        <w:rPr>
          <w:rFonts w:hint="eastAsia" w:ascii="楷体" w:hAnsi="楷体" w:eastAsia="楷体" w:cs="楷体"/>
          <w:i w:val="0"/>
          <w:caps w:val="0"/>
          <w:color w:val="0070C0"/>
          <w:spacing w:val="0"/>
          <w:sz w:val="24"/>
          <w:szCs w:val="24"/>
          <w:u w:val="single"/>
          <w:bdr w:val="none" w:color="auto" w:sz="0" w:space="0"/>
          <w:shd w:val="clear" w:fill="FFFFFF"/>
        </w:rPr>
        <w:fldChar w:fldCharType="begin"/>
      </w:r>
      <w:r>
        <w:rPr>
          <w:rFonts w:hint="eastAsia" w:ascii="楷体" w:hAnsi="楷体" w:eastAsia="楷体" w:cs="楷体"/>
          <w:i w:val="0"/>
          <w:caps w:val="0"/>
          <w:color w:val="0070C0"/>
          <w:spacing w:val="0"/>
          <w:sz w:val="24"/>
          <w:szCs w:val="24"/>
          <w:u w:val="single"/>
          <w:bdr w:val="none" w:color="auto" w:sz="0" w:space="0"/>
          <w:shd w:val="clear" w:fill="FFFFFF"/>
        </w:rPr>
        <w:instrText xml:space="preserve"> HYPERLINK "http://ssfb86.com/index/News/detail/newsid/8832.html" </w:instrText>
      </w:r>
      <w:r>
        <w:rPr>
          <w:rFonts w:hint="eastAsia" w:ascii="楷体" w:hAnsi="楷体" w:eastAsia="楷体" w:cs="楷体"/>
          <w:i w:val="0"/>
          <w:caps w:val="0"/>
          <w:color w:val="0070C0"/>
          <w:spacing w:val="0"/>
          <w:sz w:val="24"/>
          <w:szCs w:val="24"/>
          <w:u w:val="single"/>
          <w:bdr w:val="none" w:color="auto" w:sz="0" w:space="0"/>
          <w:shd w:val="clear" w:fill="FFFFFF"/>
        </w:rPr>
        <w:fldChar w:fldCharType="separate"/>
      </w:r>
      <w:r>
        <w:rPr>
          <w:rStyle w:val="8"/>
          <w:rFonts w:hint="eastAsia" w:ascii="楷体" w:hAnsi="楷体" w:eastAsia="楷体" w:cs="楷体"/>
          <w:i w:val="0"/>
          <w:caps w:val="0"/>
          <w:color w:val="0070C0"/>
          <w:spacing w:val="0"/>
          <w:sz w:val="24"/>
          <w:szCs w:val="24"/>
          <w:u w:val="single"/>
          <w:bdr w:val="none" w:color="auto" w:sz="0" w:space="0"/>
          <w:shd w:val="clear" w:fill="FFFFFF"/>
        </w:rPr>
        <w:t>财政部 税务总局公告2021年第12号</w:t>
      </w:r>
      <w:r>
        <w:rPr>
          <w:rFonts w:hint="eastAsia" w:ascii="楷体" w:hAnsi="楷体" w:eastAsia="楷体" w:cs="楷体"/>
          <w:i w:val="0"/>
          <w:caps w:val="0"/>
          <w:color w:val="0070C0"/>
          <w:spacing w:val="0"/>
          <w:sz w:val="24"/>
          <w:szCs w:val="24"/>
          <w:u w:val="single"/>
          <w:bdr w:val="none" w:color="auto" w:sz="0" w:space="0"/>
          <w:shd w:val="clear" w:fill="FFFFFF"/>
        </w:rPr>
        <w:fldChar w:fldCharType="end"/>
      </w:r>
      <w:r>
        <w:rPr>
          <w:rFonts w:hint="eastAsia" w:ascii="楷体" w:hAnsi="楷体" w:eastAsia="楷体" w:cs="楷体"/>
          <w:i w:val="0"/>
          <w:caps w:val="0"/>
          <w:color w:val="0070C0"/>
          <w:spacing w:val="0"/>
          <w:sz w:val="24"/>
          <w:szCs w:val="24"/>
          <w:bdr w:val="none" w:color="auto" w:sz="0" w:space="0"/>
          <w:shd w:val="clear" w:fill="FFFFFF"/>
        </w:rPr>
        <w:t>第</w:t>
      </w:r>
      <w:r>
        <w:rPr>
          <w:rFonts w:hint="eastAsia" w:ascii="宋体" w:hAnsi="宋体" w:eastAsia="宋体" w:cs="宋体"/>
          <w:i w:val="0"/>
          <w:caps w:val="0"/>
          <w:color w:val="0070C0"/>
          <w:spacing w:val="0"/>
          <w:sz w:val="24"/>
          <w:szCs w:val="24"/>
          <w:bdr w:val="none" w:color="auto" w:sz="0" w:space="0"/>
          <w:shd w:val="clear" w:fill="FFFFFF"/>
        </w:rPr>
        <w:t>一条</w:t>
      </w:r>
      <w:r>
        <w:rPr>
          <w:rFonts w:hint="eastAsia" w:ascii="楷体" w:hAnsi="楷体" w:eastAsia="楷体" w:cs="楷体"/>
          <w:i w:val="0"/>
          <w:caps w:val="0"/>
          <w:color w:val="0070C0"/>
          <w:spacing w:val="0"/>
          <w:sz w:val="24"/>
          <w:szCs w:val="24"/>
          <w:bdr w:val="none" w:color="auto" w:sz="0" w:space="0"/>
          <w:shd w:val="clear" w:fill="FFFFFF"/>
          <w:lang w:eastAsia="zh-CN"/>
        </w:rPr>
        <w:t>的规定，小微企业的所得税，分期、分档如下：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80" w:lineRule="atLeast"/>
        <w:ind w:left="0" w:right="0" w:firstLine="480" w:firstLineChars="200"/>
        <w:jc w:val="both"/>
        <w:rPr>
          <w:rFonts w:hint="eastAsia" w:ascii="楷体" w:hAnsi="楷体" w:eastAsia="楷体" w:cs="楷体"/>
          <w:b w:val="0"/>
          <w:color w:val="0070C0"/>
          <w:kern w:val="0"/>
          <w:sz w:val="24"/>
          <w:szCs w:val="24"/>
          <w:lang w:val="en-US" w:eastAsia="zh-CN" w:bidi="ar"/>
        </w:rPr>
      </w:pPr>
      <w:r>
        <w:rPr>
          <w:rFonts w:hint="eastAsia" w:ascii="楷体" w:hAnsi="楷体" w:eastAsia="楷体" w:cs="楷体"/>
          <w:b w:val="0"/>
          <w:color w:val="0070C0"/>
          <w:kern w:val="0"/>
          <w:sz w:val="24"/>
          <w:szCs w:val="24"/>
          <w:lang w:val="en-US" w:eastAsia="zh-CN" w:bidi="ar"/>
        </w:rPr>
        <w:t>1、2019年1月1日至2020年12月31日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1）</w:t>
      </w:r>
      <w:r>
        <w:rPr>
          <w:rFonts w:hint="eastAsia" w:ascii="楷体" w:hAnsi="楷体" w:eastAsia="楷体" w:cs="楷体"/>
          <w:color w:val="0070C0"/>
          <w:sz w:val="24"/>
          <w:szCs w:val="24"/>
          <w:lang w:eastAsia="zh-CN"/>
        </w:rPr>
        <w:t>年应纳税所得额不超过100万元的部分——减按25%计入应纳税所得额，按20%的税率缴纳企业所得税——即：实际税率为</w:t>
      </w:r>
      <w:r>
        <w:rPr>
          <w:rFonts w:hint="eastAsia" w:ascii="楷体" w:hAnsi="楷体" w:eastAsia="楷体" w:cs="楷体"/>
          <w:color w:val="0070C0"/>
          <w:sz w:val="24"/>
          <w:szCs w:val="24"/>
          <w:lang w:val="en-US" w:eastAsia="zh-CN"/>
        </w:rPr>
        <w:t>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2）</w:t>
      </w:r>
      <w:r>
        <w:rPr>
          <w:rFonts w:hint="eastAsia" w:ascii="楷体" w:hAnsi="楷体" w:eastAsia="楷体" w:cs="楷体"/>
          <w:color w:val="0070C0"/>
          <w:sz w:val="24"/>
          <w:szCs w:val="24"/>
          <w:lang w:eastAsia="zh-CN"/>
        </w:rPr>
        <w:t>对年应纳税所得额超过100万元但不超过300万元的部分——减按50%计入应纳税所得额，按20%的税率缴纳企业所得税——即：实际税率为</w:t>
      </w:r>
      <w:r>
        <w:rPr>
          <w:rFonts w:hint="eastAsia" w:ascii="楷体" w:hAnsi="楷体" w:eastAsia="楷体" w:cs="楷体"/>
          <w:color w:val="0070C0"/>
          <w:sz w:val="24"/>
          <w:szCs w:val="24"/>
          <w:lang w:val="en-US" w:eastAsia="zh-CN"/>
        </w:rPr>
        <w:t>10%</w:t>
      </w:r>
      <w:r>
        <w:rPr>
          <w:rFonts w:hint="eastAsia" w:ascii="楷体" w:hAnsi="楷体" w:eastAsia="楷体" w:cs="楷体"/>
          <w:color w:val="0070C0"/>
          <w:sz w:val="24"/>
          <w:szCs w:val="24"/>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default"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2、2021年1月1日至2021年12月31日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1）</w:t>
      </w:r>
      <w:r>
        <w:rPr>
          <w:rFonts w:hint="eastAsia" w:ascii="楷体" w:hAnsi="楷体" w:eastAsia="楷体" w:cs="楷体"/>
          <w:color w:val="0070C0"/>
          <w:sz w:val="24"/>
          <w:szCs w:val="24"/>
          <w:lang w:eastAsia="zh-CN"/>
        </w:rPr>
        <w:t>年应纳税所得额不超过100万元的部分——减按12.5%计入应纳税所得额，按20%的税率缴纳企业所得税——即：实际税率为</w:t>
      </w:r>
      <w:r>
        <w:rPr>
          <w:rFonts w:hint="eastAsia" w:ascii="楷体" w:hAnsi="楷体" w:eastAsia="楷体" w:cs="楷体"/>
          <w:color w:val="0070C0"/>
          <w:sz w:val="24"/>
          <w:szCs w:val="24"/>
          <w:lang w:val="en-US" w:eastAsia="zh-CN"/>
        </w:rPr>
        <w:t>2.5%；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2）</w:t>
      </w:r>
      <w:r>
        <w:rPr>
          <w:rFonts w:hint="eastAsia" w:ascii="楷体" w:hAnsi="楷体" w:eastAsia="楷体" w:cs="楷体"/>
          <w:color w:val="0070C0"/>
          <w:sz w:val="24"/>
          <w:szCs w:val="24"/>
          <w:lang w:eastAsia="zh-CN"/>
        </w:rPr>
        <w:t>对年应纳税所得额超过100万元但不超过300万元的部分——减按50%计入应纳税所得额，按20%的税率缴纳企业所得税——即：实际税率为</w:t>
      </w:r>
      <w:r>
        <w:rPr>
          <w:rFonts w:hint="eastAsia" w:ascii="楷体" w:hAnsi="楷体" w:eastAsia="楷体" w:cs="楷体"/>
          <w:color w:val="0070C0"/>
          <w:sz w:val="24"/>
          <w:szCs w:val="24"/>
          <w:lang w:val="en-US" w:eastAsia="zh-CN"/>
        </w:rPr>
        <w:t>10%</w:t>
      </w:r>
      <w:r>
        <w:rPr>
          <w:rFonts w:hint="eastAsia" w:ascii="楷体" w:hAnsi="楷体" w:eastAsia="楷体" w:cs="楷体"/>
          <w:color w:val="0070C0"/>
          <w:sz w:val="24"/>
          <w:szCs w:val="24"/>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default"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3、2022年1月1日至2022年12月31日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1）</w:t>
      </w:r>
      <w:r>
        <w:rPr>
          <w:rFonts w:hint="eastAsia" w:ascii="楷体" w:hAnsi="楷体" w:eastAsia="楷体" w:cs="楷体"/>
          <w:color w:val="0070C0"/>
          <w:sz w:val="24"/>
          <w:szCs w:val="24"/>
          <w:lang w:eastAsia="zh-CN"/>
        </w:rPr>
        <w:t>年应纳税所得额不超过100万元的部分——减按12.5%计入应纳税所得额，按20%的税率缴纳企业所得税——即：实际税率为</w:t>
      </w:r>
      <w:r>
        <w:rPr>
          <w:rFonts w:hint="eastAsia" w:ascii="楷体" w:hAnsi="楷体" w:eastAsia="楷体" w:cs="楷体"/>
          <w:color w:val="0070C0"/>
          <w:sz w:val="24"/>
          <w:szCs w:val="24"/>
          <w:lang w:val="en-US" w:eastAsia="zh-CN"/>
        </w:rPr>
        <w:t>2.5%；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2）</w:t>
      </w:r>
      <w:r>
        <w:rPr>
          <w:rFonts w:hint="eastAsia" w:ascii="楷体" w:hAnsi="楷体" w:eastAsia="楷体" w:cs="楷体"/>
          <w:color w:val="0070C0"/>
          <w:sz w:val="24"/>
          <w:szCs w:val="24"/>
          <w:lang w:eastAsia="zh-CN"/>
        </w:rPr>
        <w:t>对年应纳税所得额超过100万元但不超过300万元的部分——</w:t>
      </w:r>
      <w:r>
        <w:rPr>
          <w:rFonts w:hint="eastAsia" w:ascii="楷体" w:hAnsi="楷体" w:eastAsia="楷体" w:cs="楷体"/>
          <w:color w:val="0070C0"/>
          <w:sz w:val="24"/>
          <w:szCs w:val="24"/>
          <w:lang w:eastAsia="zh-CN"/>
        </w:rPr>
        <w:t>减按25%计入应纳税所得额，按20%的税率缴纳企业所得税—</w:t>
      </w:r>
      <w:r>
        <w:rPr>
          <w:rFonts w:hint="eastAsia" w:ascii="楷体" w:hAnsi="楷体" w:eastAsia="楷体" w:cs="楷体"/>
          <w:color w:val="0070C0"/>
          <w:sz w:val="24"/>
          <w:szCs w:val="24"/>
          <w:lang w:eastAsia="zh-CN"/>
        </w:rPr>
        <w:t>—即：实际税率为</w:t>
      </w:r>
      <w:r>
        <w:rPr>
          <w:rFonts w:hint="eastAsia" w:ascii="楷体" w:hAnsi="楷体" w:eastAsia="楷体" w:cs="楷体"/>
          <w:color w:val="0070C0"/>
          <w:sz w:val="24"/>
          <w:szCs w:val="24"/>
          <w:lang w:val="en-US" w:eastAsia="zh-CN"/>
        </w:rPr>
        <w:t>5%</w:t>
      </w:r>
      <w:r>
        <w:rPr>
          <w:rFonts w:hint="eastAsia" w:ascii="楷体" w:hAnsi="楷体" w:eastAsia="楷体" w:cs="楷体"/>
          <w:color w:val="0070C0"/>
          <w:sz w:val="24"/>
          <w:szCs w:val="24"/>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4、2023年1月1日至2024年12月31日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1）</w:t>
      </w:r>
      <w:r>
        <w:rPr>
          <w:rFonts w:hint="eastAsia" w:ascii="楷体" w:hAnsi="楷体" w:eastAsia="楷体" w:cs="楷体"/>
          <w:color w:val="0070C0"/>
          <w:sz w:val="24"/>
          <w:szCs w:val="24"/>
          <w:lang w:eastAsia="zh-CN"/>
        </w:rPr>
        <w:t>年应纳税所得额不超过100万元的部分——</w:t>
      </w:r>
      <w:r>
        <w:rPr>
          <w:rFonts w:hint="eastAsia" w:ascii="楷体" w:hAnsi="楷体" w:eastAsia="楷体" w:cs="楷体"/>
          <w:b/>
          <w:bCs/>
          <w:color w:val="0070C0"/>
          <w:sz w:val="24"/>
          <w:szCs w:val="24"/>
          <w:lang w:eastAsia="zh-CN"/>
        </w:rPr>
        <w:t>尚待明确</w:t>
      </w:r>
      <w:r>
        <w:rPr>
          <w:rFonts w:hint="eastAsia" w:ascii="楷体" w:hAnsi="楷体" w:eastAsia="楷体" w:cs="楷体"/>
          <w:b/>
          <w:bCs/>
          <w:color w:val="0070C0"/>
          <w:sz w:val="24"/>
          <w:szCs w:val="24"/>
          <w:lang w:val="en-US" w:eastAsia="zh-CN"/>
        </w:rPr>
        <w:t>%</w:t>
      </w:r>
      <w:r>
        <w:rPr>
          <w:rFonts w:hint="eastAsia" w:ascii="楷体" w:hAnsi="楷体" w:eastAsia="楷体" w:cs="楷体"/>
          <w:color w:val="0070C0"/>
          <w:sz w:val="24"/>
          <w:szCs w:val="24"/>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bdr w:val="none" w:color="auto" w:sz="0" w:space="0"/>
          <w:shd w:val="clear" w:fill="FFFFFF"/>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2）</w:t>
      </w:r>
      <w:r>
        <w:rPr>
          <w:rFonts w:hint="eastAsia" w:ascii="楷体" w:hAnsi="楷体" w:eastAsia="楷体" w:cs="楷体"/>
          <w:color w:val="0070C0"/>
          <w:sz w:val="24"/>
          <w:szCs w:val="24"/>
          <w:lang w:eastAsia="zh-CN"/>
        </w:rPr>
        <w:t>对年应纳税所得额超过100万元但不超过300万元的部分——减按25%计入应纳税所得额，按20%的税率缴纳企业所得税——即：实际税率为</w:t>
      </w:r>
      <w:r>
        <w:rPr>
          <w:rFonts w:hint="eastAsia" w:ascii="楷体" w:hAnsi="楷体" w:eastAsia="楷体" w:cs="楷体"/>
          <w:color w:val="0070C0"/>
          <w:sz w:val="24"/>
          <w:szCs w:val="24"/>
          <w:lang w:val="en-US" w:eastAsia="zh-CN"/>
        </w:rPr>
        <w:t>5%</w:t>
      </w:r>
      <w:r>
        <w:rPr>
          <w:rFonts w:hint="eastAsia" w:ascii="楷体" w:hAnsi="楷体" w:eastAsia="楷体" w:cs="楷体"/>
          <w:color w:val="0070C0"/>
          <w:sz w:val="24"/>
          <w:szCs w:val="24"/>
          <w:lang w:eastAsia="zh-CN"/>
        </w:rPr>
        <w:t>。】</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二、</w:t>
      </w:r>
      <w:r>
        <w:rPr>
          <w:rFonts w:hint="eastAsia"/>
          <w:b/>
          <w:sz w:val="24"/>
          <w:szCs w:val="24"/>
          <w:lang w:eastAsia="zh-CN"/>
        </w:rPr>
        <w:t>【小微企业的概念】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本公告所称小型微利企业，是指从事国家非限制和禁止行业，且同时符合年度应纳税所得额不超过300万元、从业人数不超过300人、资产总额不超过5000万元等三个条件的企业。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从业人数，包括与企业建立劳动关系的职工人数和企业接受的劳务派遣用工人数。所称从业人数和资产总额指标，应按企业全年的季度平均值确定。具体计算公式如下：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季度平均值＝（季初值＋季末值）÷2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全年季度平均值＝全年各季度平均值之和÷4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年度中间开业或者终止经营活动的，以</w:t>
      </w:r>
      <w:r>
        <w:rPr>
          <w:rFonts w:hint="eastAsia" w:ascii="宋体" w:hAnsi="宋体" w:eastAsia="宋体" w:cs="宋体"/>
          <w:i w:val="0"/>
          <w:caps w:val="0"/>
          <w:color w:val="C55A11" w:themeColor="accent2" w:themeShade="BF"/>
          <w:spacing w:val="0"/>
          <w:sz w:val="24"/>
          <w:szCs w:val="24"/>
          <w:bdr w:val="none" w:color="auto" w:sz="0" w:space="0"/>
          <w:shd w:val="clear" w:fill="FFFFFF"/>
        </w:rPr>
        <w:t>其实际经营期作为一个纳税年度确定</w:t>
      </w:r>
      <w:r>
        <w:rPr>
          <w:rFonts w:hint="eastAsia" w:ascii="宋体" w:hAnsi="宋体" w:eastAsia="宋体" w:cs="宋体"/>
          <w:i w:val="0"/>
          <w:caps w:val="0"/>
          <w:color w:val="333333"/>
          <w:spacing w:val="0"/>
          <w:sz w:val="24"/>
          <w:szCs w:val="24"/>
          <w:bdr w:val="none" w:color="auto" w:sz="0" w:space="0"/>
          <w:shd w:val="clear" w:fill="FFFFFF"/>
        </w:rPr>
        <w:t>上述相关指标。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三、</w:t>
      </w:r>
      <w:r>
        <w:rPr>
          <w:rFonts w:hint="eastAsia"/>
          <w:b/>
          <w:sz w:val="24"/>
          <w:szCs w:val="24"/>
          <w:lang w:eastAsia="zh-CN"/>
        </w:rPr>
        <w:t>【执行期限】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本公告执行期限为2022年1月1日至2024年12月31日。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i w:val="0"/>
          <w:caps w:val="0"/>
          <w:color w:val="0070C0"/>
          <w:spacing w:val="0"/>
          <w:sz w:val="24"/>
          <w:szCs w:val="24"/>
          <w:bdr w:val="none" w:color="auto" w:sz="0" w:space="0"/>
          <w:shd w:val="clear" w:fill="FFFFFF"/>
          <w:lang w:eastAsia="zh-CN"/>
        </w:rPr>
      </w:pPr>
      <w:r>
        <w:rPr>
          <w:rFonts w:hint="eastAsia" w:ascii="楷体" w:hAnsi="楷体" w:eastAsia="楷体" w:cs="楷体"/>
          <w:i w:val="0"/>
          <w:caps w:val="0"/>
          <w:color w:val="0070C0"/>
          <w:spacing w:val="0"/>
          <w:sz w:val="24"/>
          <w:szCs w:val="24"/>
          <w:bdr w:val="none" w:color="auto" w:sz="0" w:space="0"/>
          <w:shd w:val="clear" w:fill="FFFFFF"/>
          <w:lang w:eastAsia="zh-CN"/>
        </w:rPr>
        <w:t>【提示：根据</w:t>
      </w:r>
      <w:r>
        <w:rPr>
          <w:rFonts w:hint="eastAsia" w:ascii="楷体" w:hAnsi="楷体" w:eastAsia="楷体" w:cs="楷体"/>
          <w:i w:val="0"/>
          <w:caps w:val="0"/>
          <w:color w:val="0070C0"/>
          <w:spacing w:val="0"/>
          <w:sz w:val="24"/>
          <w:szCs w:val="24"/>
          <w:u w:val="single"/>
          <w:bdr w:val="none" w:color="auto" w:sz="0" w:space="0"/>
        </w:rPr>
        <w:fldChar w:fldCharType="begin"/>
      </w:r>
      <w:r>
        <w:rPr>
          <w:rFonts w:hint="eastAsia" w:ascii="楷体" w:hAnsi="楷体" w:eastAsia="楷体" w:cs="楷体"/>
          <w:i w:val="0"/>
          <w:caps w:val="0"/>
          <w:color w:val="0070C0"/>
          <w:spacing w:val="0"/>
          <w:sz w:val="24"/>
          <w:szCs w:val="24"/>
          <w:u w:val="single"/>
          <w:bdr w:val="none" w:color="auto" w:sz="0" w:space="0"/>
        </w:rPr>
        <w:instrText xml:space="preserve"> HYPERLINK "http://ssfb86.com/index/News/detail/newsid/218.html" </w:instrText>
      </w:r>
      <w:r>
        <w:rPr>
          <w:rFonts w:hint="eastAsia" w:ascii="楷体" w:hAnsi="楷体" w:eastAsia="楷体" w:cs="楷体"/>
          <w:i w:val="0"/>
          <w:caps w:val="0"/>
          <w:color w:val="0070C0"/>
          <w:spacing w:val="0"/>
          <w:sz w:val="24"/>
          <w:szCs w:val="24"/>
          <w:u w:val="single"/>
          <w:bdr w:val="none" w:color="auto" w:sz="0" w:space="0"/>
        </w:rPr>
        <w:fldChar w:fldCharType="separate"/>
      </w:r>
      <w:r>
        <w:rPr>
          <w:rStyle w:val="8"/>
          <w:rFonts w:hint="eastAsia" w:ascii="楷体" w:hAnsi="楷体" w:eastAsia="楷体" w:cs="楷体"/>
          <w:i w:val="0"/>
          <w:caps w:val="0"/>
          <w:color w:val="0070C0"/>
          <w:spacing w:val="0"/>
          <w:sz w:val="24"/>
          <w:szCs w:val="24"/>
          <w:u w:val="single"/>
          <w:bdr w:val="none" w:color="auto" w:sz="0" w:space="0"/>
        </w:rPr>
        <w:t>国家税务总局公告2019年第2号</w:t>
      </w:r>
      <w:r>
        <w:rPr>
          <w:rFonts w:hint="eastAsia" w:ascii="楷体" w:hAnsi="楷体" w:eastAsia="楷体" w:cs="楷体"/>
          <w:i w:val="0"/>
          <w:caps w:val="0"/>
          <w:color w:val="0070C0"/>
          <w:spacing w:val="0"/>
          <w:sz w:val="24"/>
          <w:szCs w:val="24"/>
          <w:u w:val="single"/>
          <w:bdr w:val="none" w:color="auto" w:sz="0" w:space="0"/>
        </w:rPr>
        <w:fldChar w:fldCharType="end"/>
      </w:r>
      <w:r>
        <w:rPr>
          <w:rFonts w:hint="eastAsia" w:ascii="楷体" w:hAnsi="楷体" w:eastAsia="楷体" w:cs="楷体"/>
          <w:i w:val="0"/>
          <w:caps w:val="0"/>
          <w:color w:val="0070C0"/>
          <w:spacing w:val="0"/>
          <w:sz w:val="24"/>
          <w:szCs w:val="24"/>
          <w:bdr w:val="none" w:color="auto" w:sz="0" w:space="0"/>
        </w:rPr>
        <w:t>第五条</w:t>
      </w:r>
      <w:r>
        <w:rPr>
          <w:rFonts w:hint="eastAsia" w:ascii="楷体" w:hAnsi="楷体" w:eastAsia="楷体" w:cs="楷体"/>
          <w:i w:val="0"/>
          <w:caps w:val="0"/>
          <w:color w:val="0070C0"/>
          <w:spacing w:val="0"/>
          <w:sz w:val="24"/>
          <w:szCs w:val="24"/>
          <w:bdr w:val="none" w:color="auto" w:sz="0" w:space="0"/>
          <w:lang w:eastAsia="zh-CN"/>
        </w:rPr>
        <w:t>的规定，</w:t>
      </w:r>
      <w:r>
        <w:rPr>
          <w:rFonts w:hint="eastAsia" w:ascii="楷体" w:hAnsi="楷体" w:eastAsia="楷体" w:cs="楷体"/>
          <w:i w:val="0"/>
          <w:caps w:val="0"/>
          <w:color w:val="0070C0"/>
          <w:spacing w:val="0"/>
          <w:sz w:val="24"/>
          <w:szCs w:val="24"/>
          <w:shd w:val="clear" w:fill="FFFFFF"/>
          <w:lang w:eastAsia="zh-CN"/>
        </w:rPr>
        <w:t>季度、汇缴自行申报享受，无需备案</w:t>
      </w:r>
      <w:bookmarkStart w:id="0" w:name="_GoBack"/>
      <w:bookmarkEnd w:id="0"/>
      <w:r>
        <w:rPr>
          <w:rFonts w:hint="eastAsia" w:ascii="楷体" w:hAnsi="楷体" w:eastAsia="楷体" w:cs="楷体"/>
          <w:i w:val="0"/>
          <w:caps w:val="0"/>
          <w:color w:val="0070C0"/>
          <w:spacing w:val="0"/>
          <w:sz w:val="24"/>
          <w:szCs w:val="24"/>
          <w:bdr w:val="none" w:color="auto" w:sz="0" w:space="0"/>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特此公告。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财政部 税务总局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2022年3月14日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B57819"/>
    <w:rsid w:val="5C36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2022-03-18T21:41:00Z</dcterms:created>
  <dc:creator>fzr</dc:creator>
  <cp:lastModifiedBy>默默</cp:lastModifiedBy>
  <dcterms:modified xsi:type="dcterms:W3CDTF">2022-03-18T22:14:38Z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