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  <w:t>关于对增值税小规模纳税人免征增值税的公告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"http://ssfb86.com/index/News/detail/newsid/10287.html"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财政部 税务总局公告2022年第15号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为进一步支持小微企业发展，现将有关增值税政策公告如下：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自2022年4月1日至2022年12月31日，增值税小规模纳税人适用3%征收率的应税销售收入，免征增值税；适用3%预征率的预缴增值税项目，暂停预缴增值税。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righ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"http://ssfb86.com/index/News/detail/newsid/10287.html"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</w:rPr>
        <w:t>财政部 税务总局公告2022年第15号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val="en-US" w:eastAsia="zh-CN"/>
        </w:rPr>
        <w:t>提示：适用5%的小规模纳税人，不适用该政策</w:t>
      </w: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《财政部 税务总局关于延续实施应对疫情部分税费优惠政策的公告》（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"http://ssfb86.com/index/News/detail/newsid/8795.html"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财政部 税务总局公告2021年第7号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）第一条规定的税收优惠政策，执行期限延长至2022年3月31日。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  <w:t>【</w:t>
      </w: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val="en-US" w:eastAsia="zh-CN"/>
        </w:rPr>
        <w:t>提示：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val="en-US" w:eastAsia="zh-CN"/>
        </w:rPr>
        <w:t>（1）2022年1月1日至3月31日——1%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val="en-US" w:eastAsia="zh-CN"/>
        </w:rPr>
        <w:t>（2）</w:t>
      </w: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  <w:t>2022年4月1日至12月31日——免税（注：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  <w:t>只能开具普票）————如需开具专票，应放弃免税，按</w:t>
      </w: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val="en-US" w:eastAsia="zh-CN"/>
        </w:rPr>
        <w:t>3%</w:t>
      </w:r>
      <w:r>
        <w:rPr>
          <w:rFonts w:hint="eastAsia" w:ascii="楷体" w:hAnsi="楷体" w:eastAsia="楷体" w:cs="楷体"/>
          <w:i w:val="0"/>
          <w:iCs w:val="0"/>
          <w:caps w:val="0"/>
          <w:color w:val="0070C0"/>
          <w:spacing w:val="0"/>
          <w:sz w:val="24"/>
          <w:szCs w:val="24"/>
          <w:shd w:val="clear" w:fill="FFFFFF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特此公告。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财政部 税务总局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2022年3月24日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A1BD4"/>
    <w:rsid w:val="38A143FC"/>
    <w:rsid w:val="60350941"/>
    <w:rsid w:val="69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2022-03-24T09:04:00Z</dcterms:created>
  <dc:creator>tsuser</dc:creator>
  <cp:lastModifiedBy>默默</cp:lastModifiedBy>
  <dcterms:modified xsi:type="dcterms:W3CDTF">2022-03-24T14:34:39Z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F3E9A2AE744547F39231FA1B179CFFFA</vt:lpwstr>
  </property>
</Properties>
</file>