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9EDFB" w14:textId="77777777" w:rsidR="00CD2893" w:rsidRDefault="00C77486">
      <w:pPr>
        <w:spacing w:after="569" w:line="259" w:lineRule="auto"/>
        <w:ind w:right="170" w:firstLine="0"/>
        <w:jc w:val="center"/>
      </w:pPr>
      <w:r>
        <w:rPr>
          <w:sz w:val="42"/>
        </w:rPr>
        <w:t>上市公司投资者关系管理工作指引</w:t>
      </w:r>
    </w:p>
    <w:p w14:paraId="351BC54C" w14:textId="77777777" w:rsidR="00CD2893" w:rsidRDefault="00C77486">
      <w:pPr>
        <w:pStyle w:val="1"/>
      </w:pPr>
      <w:r>
        <w:t>第一章</w:t>
      </w:r>
      <w:r>
        <w:t xml:space="preserve"> </w:t>
      </w:r>
      <w:r>
        <w:t>总</w:t>
      </w:r>
      <w:r>
        <w:t xml:space="preserve"> </w:t>
      </w:r>
      <w:r>
        <w:t>则</w:t>
      </w:r>
    </w:p>
    <w:p w14:paraId="056CCC0E" w14:textId="77777777" w:rsidR="00CD2893" w:rsidRDefault="00C77486">
      <w:pPr>
        <w:ind w:left="-15"/>
      </w:pPr>
      <w:r>
        <w:t>第一条</w:t>
      </w:r>
      <w:r>
        <w:t xml:space="preserve"> </w:t>
      </w:r>
      <w:r>
        <w:t>为规范上市公司投资者关系管理工作，加强上市公司与投资者之间的有效沟通，促进上市公司完善治理，提高上市公司质量，切实保护投资者特别是中小投资者合法权益，根据《中华人民共和国公司法》《中华人民共和国证券法》及《国务院关于进一步提高上市公司质量的意见》《关于进一步加强资本市场中小投资者合法权益保护工作的意见》《关于全面推进证券期货纠纷多元化解机制建设的意见》等有关法律法规和规章等，制定本指引。</w:t>
      </w:r>
    </w:p>
    <w:p w14:paraId="39DCE797" w14:textId="77777777" w:rsidR="00CD2893" w:rsidRDefault="00C77486">
      <w:pPr>
        <w:ind w:left="-15"/>
      </w:pPr>
      <w:r>
        <w:t>第二条</w:t>
      </w:r>
      <w:r>
        <w:t xml:space="preserve"> </w:t>
      </w:r>
      <w:r>
        <w:t>本指引适用于依照《</w:t>
      </w:r>
      <w:r>
        <w:t>中华人民共和国公司法》设立且股票在中国境内证券交易所上市交易的股份有限公司。</w:t>
      </w:r>
    </w:p>
    <w:p w14:paraId="6AAD4FAA" w14:textId="77777777" w:rsidR="00CD2893" w:rsidRDefault="00C77486">
      <w:pPr>
        <w:ind w:left="-15"/>
      </w:pPr>
      <w:r>
        <w:t>境外企业在境内发行股票或者存托凭证并上市的，除适用境外注册地、上市地法律法规的事项外，对境内的投资者关系管理工作</w:t>
      </w:r>
      <w:r>
        <w:lastRenderedPageBreak/>
        <w:t>参照本指引执行。法律、行政法规或者中国证监会另有规定的，从其规定。</w:t>
      </w:r>
    </w:p>
    <w:p w14:paraId="15D6155C" w14:textId="77777777" w:rsidR="00CD2893" w:rsidRDefault="00C77486">
      <w:pPr>
        <w:spacing w:after="4"/>
        <w:ind w:left="-15" w:right="143"/>
        <w:jc w:val="both"/>
      </w:pPr>
      <w:r>
        <w:t>第三条</w:t>
      </w:r>
      <w:r>
        <w:t xml:space="preserve"> </w:t>
      </w:r>
      <w:r>
        <w:t>投资者关系管理是指上市公司通过便利股东权利行使、信息披露、互动交流和诉求处理等工作，加强与投资者及潜在投资者之间的沟通，增进投资者对上市公司的了解和认同，以提升上市公司治理水平和企业整体价值，实现尊重投资者、回报投资者、保护投资者目的的相关活动。</w:t>
      </w:r>
    </w:p>
    <w:p w14:paraId="50FE33C7" w14:textId="77777777" w:rsidR="00CD2893" w:rsidRDefault="00C77486">
      <w:pPr>
        <w:spacing w:after="172" w:line="259" w:lineRule="auto"/>
        <w:ind w:left="624" w:firstLine="0"/>
      </w:pPr>
      <w:r>
        <w:t>第四条</w:t>
      </w:r>
      <w:r>
        <w:t xml:space="preserve"> </w:t>
      </w:r>
      <w:r>
        <w:t>上市公司投资者关系管理的基本原则是：</w:t>
      </w:r>
    </w:p>
    <w:p w14:paraId="43152C77" w14:textId="77777777" w:rsidR="00CD2893" w:rsidRDefault="00C77486">
      <w:pPr>
        <w:numPr>
          <w:ilvl w:val="0"/>
          <w:numId w:val="1"/>
        </w:numPr>
      </w:pPr>
      <w:r>
        <w:t>合</w:t>
      </w:r>
      <w:proofErr w:type="gramStart"/>
      <w:r>
        <w:t>规</w:t>
      </w:r>
      <w:proofErr w:type="gramEnd"/>
      <w:r>
        <w:t>性原则。上市公司投资者关系管理应当在依法履行信息披露义务的基础上开展，符合法律、法规、规章及规范性文件、行业规范和自律规则、公司内部规章制度，以及行业普遍遵守的道德规范和行为准则。</w:t>
      </w:r>
    </w:p>
    <w:p w14:paraId="1E579C89" w14:textId="77777777" w:rsidR="00CD2893" w:rsidRDefault="00C77486">
      <w:pPr>
        <w:numPr>
          <w:ilvl w:val="0"/>
          <w:numId w:val="1"/>
        </w:numPr>
      </w:pPr>
      <w:r>
        <w:t>平等性原则。上市公司开展投资者关系管理活动，应当平等对待所有投资者，尤其为中小投资者参与活动创造机会、提供便利。</w:t>
      </w:r>
    </w:p>
    <w:p w14:paraId="221CFC4D" w14:textId="77777777" w:rsidR="00CD2893" w:rsidRDefault="00C77486">
      <w:pPr>
        <w:numPr>
          <w:ilvl w:val="0"/>
          <w:numId w:val="1"/>
        </w:numPr>
      </w:pPr>
      <w:r>
        <w:lastRenderedPageBreak/>
        <w:t>主动性原则。上市公司应当主动开展投资者关系管理活动，听取投资者意见建议，及时回应投资者诉求。</w:t>
      </w:r>
    </w:p>
    <w:p w14:paraId="4D07E938" w14:textId="77777777" w:rsidR="00CD2893" w:rsidRDefault="00C77486">
      <w:pPr>
        <w:numPr>
          <w:ilvl w:val="0"/>
          <w:numId w:val="1"/>
        </w:numPr>
      </w:pPr>
      <w:r>
        <w:t>诚实守信原则。上市公司在投资者关系管理活动中应当注重诚信、坚守底线、规</w:t>
      </w:r>
      <w:r>
        <w:t>范运作、担当责任，营造健康良好的市场生态。</w:t>
      </w:r>
    </w:p>
    <w:p w14:paraId="438ADB9D" w14:textId="77777777" w:rsidR="00CD2893" w:rsidRDefault="00C77486">
      <w:pPr>
        <w:spacing w:after="4"/>
        <w:ind w:left="-15" w:right="143"/>
        <w:jc w:val="both"/>
      </w:pPr>
      <w:r>
        <w:t>第五条</w:t>
      </w:r>
      <w:r>
        <w:t xml:space="preserve"> </w:t>
      </w:r>
      <w:r>
        <w:t>本指引是上市公司投资者关系管理的基本行为指南。上市公司应当按照本指引的精神和要求开展投资者关系管理工作。</w:t>
      </w:r>
    </w:p>
    <w:p w14:paraId="411800CF" w14:textId="77777777" w:rsidR="00CD2893" w:rsidRDefault="00C77486">
      <w:pPr>
        <w:ind w:left="-15"/>
      </w:pPr>
      <w:r>
        <w:t>上市公司控股股东、实际控制人以及董事、监事和高级管理人员应当高度重视、积极参与和支持投资者关系管理工作。</w:t>
      </w:r>
    </w:p>
    <w:p w14:paraId="50E3D8D2" w14:textId="77777777" w:rsidR="00CD2893" w:rsidRDefault="00C77486">
      <w:pPr>
        <w:spacing w:after="0" w:line="368" w:lineRule="auto"/>
        <w:ind w:left="10" w:right="146" w:hanging="10"/>
        <w:jc w:val="right"/>
      </w:pPr>
      <w:r>
        <w:t>第六条</w:t>
      </w:r>
      <w:r>
        <w:t xml:space="preserve"> </w:t>
      </w:r>
      <w:r>
        <w:t>倡导投资者提升股东意识，积极参与上市公司开展的投资者关系管理活动，依法行使股东权利，理性维护自身合法权益。</w:t>
      </w:r>
    </w:p>
    <w:p w14:paraId="5001BF0A" w14:textId="77777777" w:rsidR="00CD2893" w:rsidRDefault="00C77486">
      <w:pPr>
        <w:spacing w:after="558"/>
        <w:ind w:left="-15"/>
      </w:pPr>
      <w:r>
        <w:t>倡导投资者坚持理性投资、价值投资和长期投资的理念，形成理性成熟的投资文化。</w:t>
      </w:r>
    </w:p>
    <w:p w14:paraId="6E0AB8CC" w14:textId="77777777" w:rsidR="00CD2893" w:rsidRDefault="00C77486">
      <w:pPr>
        <w:pStyle w:val="1"/>
        <w:ind w:right="168"/>
      </w:pPr>
      <w:r>
        <w:lastRenderedPageBreak/>
        <w:t>第二章</w:t>
      </w:r>
      <w:r>
        <w:t xml:space="preserve"> </w:t>
      </w:r>
      <w:r>
        <w:t>投资者关系管理的内容和方式</w:t>
      </w:r>
    </w:p>
    <w:p w14:paraId="2C6065F8" w14:textId="77777777" w:rsidR="00CD2893" w:rsidRDefault="00C77486">
      <w:pPr>
        <w:ind w:left="-15"/>
      </w:pPr>
      <w:r>
        <w:t>第七条</w:t>
      </w:r>
      <w:r>
        <w:t xml:space="preserve"> </w:t>
      </w:r>
      <w:r>
        <w:t>投资者关系管</w:t>
      </w:r>
      <w:r>
        <w:t>理中上市公司与投资者沟通的内容主要包括：</w:t>
      </w:r>
    </w:p>
    <w:p w14:paraId="09349850" w14:textId="77777777" w:rsidR="00CD2893" w:rsidRDefault="00C77486">
      <w:pPr>
        <w:numPr>
          <w:ilvl w:val="0"/>
          <w:numId w:val="2"/>
        </w:numPr>
        <w:spacing w:after="166" w:line="259" w:lineRule="auto"/>
        <w:ind w:hanging="934"/>
      </w:pPr>
      <w:r>
        <w:t>公司的发展战略；</w:t>
      </w:r>
    </w:p>
    <w:p w14:paraId="41C3F7E6" w14:textId="77777777" w:rsidR="00CD2893" w:rsidRDefault="00C77486">
      <w:pPr>
        <w:numPr>
          <w:ilvl w:val="0"/>
          <w:numId w:val="2"/>
        </w:numPr>
        <w:spacing w:after="164" w:line="259" w:lineRule="auto"/>
        <w:ind w:hanging="934"/>
      </w:pPr>
      <w:r>
        <w:t>法定信息披露内容；</w:t>
      </w:r>
    </w:p>
    <w:p w14:paraId="160A0D4C" w14:textId="77777777" w:rsidR="00CD2893" w:rsidRDefault="00C77486">
      <w:pPr>
        <w:numPr>
          <w:ilvl w:val="0"/>
          <w:numId w:val="2"/>
        </w:numPr>
        <w:spacing w:after="164" w:line="259" w:lineRule="auto"/>
        <w:ind w:hanging="934"/>
      </w:pPr>
      <w:r>
        <w:t>公司的经营管理信息；</w:t>
      </w:r>
    </w:p>
    <w:p w14:paraId="1AACCED0" w14:textId="77777777" w:rsidR="00CD2893" w:rsidRDefault="00C77486">
      <w:pPr>
        <w:numPr>
          <w:ilvl w:val="0"/>
          <w:numId w:val="2"/>
        </w:numPr>
        <w:spacing w:after="166" w:line="259" w:lineRule="auto"/>
        <w:ind w:hanging="934"/>
      </w:pPr>
      <w:r>
        <w:t>公司的环境、社会和治理信息；</w:t>
      </w:r>
    </w:p>
    <w:p w14:paraId="7286CFDC" w14:textId="77777777" w:rsidR="00CD2893" w:rsidRDefault="00C77486">
      <w:pPr>
        <w:numPr>
          <w:ilvl w:val="0"/>
          <w:numId w:val="2"/>
        </w:numPr>
        <w:spacing w:after="164" w:line="259" w:lineRule="auto"/>
        <w:ind w:hanging="934"/>
      </w:pPr>
      <w:r>
        <w:t>公司的文化建设；</w:t>
      </w:r>
    </w:p>
    <w:p w14:paraId="38E12402" w14:textId="77777777" w:rsidR="00CD2893" w:rsidRDefault="00C77486">
      <w:pPr>
        <w:numPr>
          <w:ilvl w:val="0"/>
          <w:numId w:val="2"/>
        </w:numPr>
        <w:spacing w:after="164" w:line="259" w:lineRule="auto"/>
        <w:ind w:hanging="934"/>
      </w:pPr>
      <w:r>
        <w:t>股东权利行使的方式、途径和程序等；</w:t>
      </w:r>
    </w:p>
    <w:p w14:paraId="302F2896" w14:textId="77777777" w:rsidR="00CD2893" w:rsidRDefault="00C77486">
      <w:pPr>
        <w:numPr>
          <w:ilvl w:val="0"/>
          <w:numId w:val="2"/>
        </w:numPr>
        <w:spacing w:after="166" w:line="259" w:lineRule="auto"/>
        <w:ind w:hanging="934"/>
      </w:pPr>
      <w:r>
        <w:t>投资者诉求处理信息；</w:t>
      </w:r>
    </w:p>
    <w:p w14:paraId="1C34BD63" w14:textId="77777777" w:rsidR="00CD2893" w:rsidRDefault="00C77486">
      <w:pPr>
        <w:numPr>
          <w:ilvl w:val="0"/>
          <w:numId w:val="2"/>
        </w:numPr>
        <w:spacing w:after="164" w:line="259" w:lineRule="auto"/>
        <w:ind w:hanging="934"/>
      </w:pPr>
      <w:r>
        <w:t>公司正在或者可能面临的风险和挑战；</w:t>
      </w:r>
    </w:p>
    <w:p w14:paraId="2E524FF7" w14:textId="77777777" w:rsidR="00CD2893" w:rsidRDefault="00C77486">
      <w:pPr>
        <w:numPr>
          <w:ilvl w:val="0"/>
          <w:numId w:val="2"/>
        </w:numPr>
        <w:spacing w:after="166" w:line="259" w:lineRule="auto"/>
        <w:ind w:hanging="934"/>
      </w:pPr>
      <w:r>
        <w:t>公司的其他相关信息。</w:t>
      </w:r>
    </w:p>
    <w:p w14:paraId="26D277C5" w14:textId="77777777" w:rsidR="00CD2893" w:rsidRDefault="00C77486">
      <w:pPr>
        <w:ind w:left="-15"/>
      </w:pPr>
      <w:r>
        <w:t>第八条</w:t>
      </w:r>
      <w:r>
        <w:t xml:space="preserve"> </w:t>
      </w:r>
      <w:r>
        <w:t>上市公司应当多渠道、多平台、多方式开展投资者关系管理工作。通过公司官网、新媒体平台、电话、传真、电子邮箱、投资者教育基地等渠道，利用中国投资者网和证券交易所、证券登</w:t>
      </w:r>
      <w:r>
        <w:lastRenderedPageBreak/>
        <w:t>记结算机构等的网络基础设施平台，采取股东大会、投资者说明会、路演、</w:t>
      </w:r>
      <w:r>
        <w:t>分析师会议、接待来访、座谈交流等方式，与投资者进行沟通交流。沟通交流的方式应当方便投资者参与，上市公司应当及时发现并清除影响沟通交流的障碍性条件。</w:t>
      </w:r>
    </w:p>
    <w:p w14:paraId="73498D84" w14:textId="77777777" w:rsidR="00CD2893" w:rsidRDefault="00C77486">
      <w:pPr>
        <w:ind w:left="-15"/>
      </w:pPr>
      <w:r>
        <w:t>鼓励上市公司在遵守信息披露规则的前提下，建立与投资者的重大事件沟通机制，在制定涉及股东权益的重大方案时，通过多种方式与投资者进行充分沟通和协商。</w:t>
      </w:r>
    </w:p>
    <w:p w14:paraId="67C6EFB2" w14:textId="77777777" w:rsidR="00CD2893" w:rsidRDefault="00C77486">
      <w:pPr>
        <w:ind w:left="-15"/>
      </w:pPr>
      <w:r>
        <w:t>第九条</w:t>
      </w:r>
      <w:r>
        <w:t xml:space="preserve"> </w:t>
      </w:r>
      <w:r>
        <w:t>上市公司需要设立投资者联系电话、传真和电子邮箱等，由熟悉情况的专人负责，保证在工作时间线路畅通，认真友好接听接收，通过有效形式向投资者反馈。号码、地址如有变更应及时公布。</w:t>
      </w:r>
    </w:p>
    <w:p w14:paraId="55E66B7C" w14:textId="77777777" w:rsidR="00CD2893" w:rsidRDefault="00C77486">
      <w:pPr>
        <w:spacing w:after="4"/>
        <w:ind w:left="-15" w:right="143"/>
        <w:jc w:val="both"/>
      </w:pPr>
      <w:r>
        <w:t>第十条</w:t>
      </w:r>
      <w:r>
        <w:t xml:space="preserve"> </w:t>
      </w:r>
      <w:r>
        <w:t>上市公司应当加强投资者网络沟通</w:t>
      </w:r>
      <w:r>
        <w:t>渠道的建设和运维，在</w:t>
      </w:r>
      <w:proofErr w:type="gramStart"/>
      <w:r>
        <w:t>公司官网开设</w:t>
      </w:r>
      <w:proofErr w:type="gramEnd"/>
      <w:r>
        <w:t>投资者关系专栏，收集和答复投资者的咨询、投诉和建议等诉求，及时发布和更新投资者关系管理相关信息。</w:t>
      </w:r>
    </w:p>
    <w:p w14:paraId="03B65C80" w14:textId="77777777" w:rsidR="00CD2893" w:rsidRDefault="00C77486">
      <w:pPr>
        <w:ind w:left="-15"/>
      </w:pPr>
      <w:r>
        <w:lastRenderedPageBreak/>
        <w:t>上市公司应当积极利用中国投资者网、证券交易所投资者关系互动平台等公益性网络基础设施开展投资者关系管理活动。</w:t>
      </w:r>
    </w:p>
    <w:p w14:paraId="060755EC" w14:textId="77777777" w:rsidR="00CD2893" w:rsidRDefault="00C77486">
      <w:pPr>
        <w:ind w:left="-15"/>
      </w:pPr>
      <w:r>
        <w:t>鼓励上市公司通过新媒体平台开展投资者关系管理活动。已开设的新媒体平台及其访问地址，应当在上市</w:t>
      </w:r>
      <w:proofErr w:type="gramStart"/>
      <w:r>
        <w:t>公司官网投资者</w:t>
      </w:r>
      <w:proofErr w:type="gramEnd"/>
      <w:r>
        <w:t>关系专栏公示，及时更新。</w:t>
      </w:r>
    </w:p>
    <w:p w14:paraId="6277F3C8" w14:textId="77777777" w:rsidR="00CD2893" w:rsidRDefault="00C77486">
      <w:pPr>
        <w:ind w:left="-15"/>
      </w:pPr>
      <w:r>
        <w:t>第十一条</w:t>
      </w:r>
      <w:r>
        <w:t xml:space="preserve"> </w:t>
      </w:r>
      <w:r>
        <w:t>上市公司可以安排投资者、基金经理、分析师等到公司现场参观、座谈沟通。</w:t>
      </w:r>
    </w:p>
    <w:p w14:paraId="2ED03093" w14:textId="77777777" w:rsidR="00CD2893" w:rsidRDefault="00C77486">
      <w:pPr>
        <w:spacing w:after="168" w:line="259" w:lineRule="auto"/>
        <w:ind w:left="10" w:right="146" w:hanging="10"/>
        <w:jc w:val="right"/>
      </w:pPr>
      <w:r>
        <w:t>上市公司应当合理、妥善地安排活动，避免让来访人员有机会得到内幕</w:t>
      </w:r>
      <w:r>
        <w:t>信息和未公开的重大事件信息。</w:t>
      </w:r>
    </w:p>
    <w:p w14:paraId="03E446FB" w14:textId="77777777" w:rsidR="00CD2893" w:rsidRDefault="00C77486">
      <w:pPr>
        <w:ind w:left="-15"/>
      </w:pPr>
      <w:r>
        <w:t>第十二条</w:t>
      </w:r>
      <w:r>
        <w:t xml:space="preserve"> </w:t>
      </w:r>
      <w:r>
        <w:t>上市公司可以通过路演、分析</w:t>
      </w:r>
      <w:proofErr w:type="gramStart"/>
      <w:r>
        <w:t>师会议</w:t>
      </w:r>
      <w:proofErr w:type="gramEnd"/>
      <w:r>
        <w:t>等方式，沟通交流公司情况，回答问题并听取相关意见建议。</w:t>
      </w:r>
    </w:p>
    <w:p w14:paraId="6783BAE9" w14:textId="77777777" w:rsidR="00CD2893" w:rsidRDefault="00C77486">
      <w:pPr>
        <w:ind w:left="-15"/>
      </w:pPr>
      <w:r>
        <w:t>第十三条</w:t>
      </w:r>
      <w:r>
        <w:t xml:space="preserve"> </w:t>
      </w:r>
      <w:r>
        <w:t>上市公司及其他信息披露义务人应当严格按照法律法规、自律规则和公司章程的规定及时、公平地履行信息披露义务，披露的信息应当真实、准确、完整，简明清晰，通俗易懂，不得有虚假记载、误导性陈述或者重大遗漏。</w:t>
      </w:r>
    </w:p>
    <w:p w14:paraId="43A67188" w14:textId="77777777" w:rsidR="00CD2893" w:rsidRDefault="00C77486">
      <w:pPr>
        <w:ind w:left="-15"/>
      </w:pPr>
      <w:r>
        <w:lastRenderedPageBreak/>
        <w:t>第十四条</w:t>
      </w:r>
      <w:r>
        <w:t xml:space="preserve"> </w:t>
      </w:r>
      <w:r>
        <w:t>上市公司应当充分考虑股东大会召开的时间、地点和方式，为股东特别是中小股东参加股东大会提供便利，为投资者发言、提问以及与公司董事、监事和高级管理人员等交流提供必要的时间</w:t>
      </w:r>
      <w:r>
        <w:t>。股东大会应当提供网络投票的方式。</w:t>
      </w:r>
    </w:p>
    <w:p w14:paraId="635E5608" w14:textId="77777777" w:rsidR="00CD2893" w:rsidRDefault="00C77486">
      <w:pPr>
        <w:ind w:left="-15"/>
      </w:pPr>
      <w:r>
        <w:t>上市公司可以在按照信息披露规则</w:t>
      </w:r>
      <w:proofErr w:type="gramStart"/>
      <w:r>
        <w:t>作出</w:t>
      </w:r>
      <w:proofErr w:type="gramEnd"/>
      <w:r>
        <w:t>公告后至股东大会召开前，与投资者充分沟通，广泛征询意见。</w:t>
      </w:r>
    </w:p>
    <w:p w14:paraId="351752C3" w14:textId="77777777" w:rsidR="00CD2893" w:rsidRDefault="00C77486">
      <w:pPr>
        <w:ind w:left="-15"/>
      </w:pPr>
      <w:r>
        <w:t>第十五条</w:t>
      </w:r>
      <w:r>
        <w:t xml:space="preserve"> </w:t>
      </w:r>
      <w:r>
        <w:t>除依法履行信息披露义务外，上市公司应当按照中国证监会、证券交易所的规定积极召开投资者说明会，向投资者介绍情况、回答问题、听取建议。投资者说明会包括业绩说明会、现金分红说明会、重大事项说明会等情形。一般情况下董事长或者总经理应当出席投资者说明会，不能出席的应当公开说明原因。</w:t>
      </w:r>
    </w:p>
    <w:p w14:paraId="5ACEE538" w14:textId="77777777" w:rsidR="00CD2893" w:rsidRDefault="00C77486">
      <w:pPr>
        <w:spacing w:after="164"/>
        <w:ind w:left="-15"/>
      </w:pPr>
      <w:r>
        <w:t>上市公司召开投资者说明会应当事先公告，事后及时披露说明会情况，</w:t>
      </w:r>
      <w:r>
        <w:t>具体由各证券交易所规定。投资者说明会应当采取便于投资者参与的方式进行，现场召开的鼓励通过网络等渠道进行直播。</w:t>
      </w:r>
    </w:p>
    <w:p w14:paraId="4E3C8224" w14:textId="77777777" w:rsidR="00CD2893" w:rsidRDefault="00C77486">
      <w:pPr>
        <w:ind w:left="-15"/>
      </w:pPr>
      <w:r>
        <w:lastRenderedPageBreak/>
        <w:t>第十六条</w:t>
      </w:r>
      <w:r>
        <w:t xml:space="preserve"> </w:t>
      </w:r>
      <w:r>
        <w:t>存在下列情形的，上市公司应当按照中国证监会、证券交易所的规定召开投资者说明会：</w:t>
      </w:r>
    </w:p>
    <w:p w14:paraId="02596F08" w14:textId="77777777" w:rsidR="00CD2893" w:rsidRDefault="00C77486">
      <w:pPr>
        <w:numPr>
          <w:ilvl w:val="0"/>
          <w:numId w:val="3"/>
        </w:numPr>
      </w:pPr>
      <w:r>
        <w:t>公司当年现金分红水平未达相关规定，需要说明原因；</w:t>
      </w:r>
    </w:p>
    <w:p w14:paraId="3C05321D" w14:textId="77777777" w:rsidR="00CD2893" w:rsidRDefault="00C77486">
      <w:pPr>
        <w:numPr>
          <w:ilvl w:val="0"/>
          <w:numId w:val="3"/>
        </w:numPr>
        <w:spacing w:after="164" w:line="259" w:lineRule="auto"/>
      </w:pPr>
      <w:r>
        <w:t>公司在披露重组预案或重组报告书后终止重组；</w:t>
      </w:r>
    </w:p>
    <w:p w14:paraId="2E6062D2" w14:textId="77777777" w:rsidR="00CD2893" w:rsidRDefault="00C77486">
      <w:pPr>
        <w:numPr>
          <w:ilvl w:val="0"/>
          <w:numId w:val="3"/>
        </w:numPr>
      </w:pPr>
      <w:r>
        <w:t>公司证券交易出现相关规则规定的异常波动，公司核查后发现存在未披露重大事件；</w:t>
      </w:r>
    </w:p>
    <w:p w14:paraId="42BBEC6E" w14:textId="77777777" w:rsidR="00CD2893" w:rsidRDefault="00C77486">
      <w:pPr>
        <w:numPr>
          <w:ilvl w:val="0"/>
          <w:numId w:val="3"/>
        </w:numPr>
        <w:spacing w:after="164" w:line="259" w:lineRule="auto"/>
      </w:pPr>
      <w:r>
        <w:t>公司相关重大事件受到市场高度关注或质疑；</w:t>
      </w:r>
    </w:p>
    <w:p w14:paraId="3E69FF25" w14:textId="77777777" w:rsidR="00CD2893" w:rsidRDefault="00C77486">
      <w:pPr>
        <w:numPr>
          <w:ilvl w:val="0"/>
          <w:numId w:val="3"/>
        </w:numPr>
        <w:spacing w:after="168" w:line="259" w:lineRule="auto"/>
      </w:pPr>
      <w:r>
        <w:t>其他应当召开投资者说明会的情形。</w:t>
      </w:r>
    </w:p>
    <w:p w14:paraId="036DF75A" w14:textId="77777777" w:rsidR="00CD2893" w:rsidRDefault="00C77486">
      <w:pPr>
        <w:ind w:left="-15"/>
      </w:pPr>
      <w:r>
        <w:t>第十七条</w:t>
      </w:r>
      <w:r>
        <w:t xml:space="preserve"> </w:t>
      </w:r>
      <w:r>
        <w:t>上市公司在年度报告披露后应当按照中国证监会、证券交易所的</w:t>
      </w:r>
      <w:r>
        <w:t>规定，及时召开业绩说明会，对公司所处行业状况、发展战略、生产经营、财务状况、分红情况、风险与困难等投资者关心的内容进行说明。上市公司召开业绩说明会应当提前征集投资者提问，注重与投资者交流互动的效果，可以采用视频、语音等形式。</w:t>
      </w:r>
    </w:p>
    <w:p w14:paraId="2CB6E10F" w14:textId="77777777" w:rsidR="00CD2893" w:rsidRDefault="00C77486">
      <w:pPr>
        <w:ind w:left="-15"/>
      </w:pPr>
      <w:r>
        <w:lastRenderedPageBreak/>
        <w:t>第十八条</w:t>
      </w:r>
      <w:r>
        <w:t xml:space="preserve"> </w:t>
      </w:r>
      <w:r>
        <w:t>投资者依法行使股东权利的行为，以及投资者保护机构持股行权、公开征集股东权利、纠纷调解、代表人诉讼等维护投资者合法权益的各项活动，上市公司应当积极支持配合。</w:t>
      </w:r>
    </w:p>
    <w:p w14:paraId="7EE4BA1D" w14:textId="77777777" w:rsidR="00CD2893" w:rsidRDefault="00C77486">
      <w:pPr>
        <w:ind w:left="-15"/>
      </w:pPr>
      <w:r>
        <w:t>投资者与上市公司发生纠纷的，双方可以向调解组织申请调解。投资者提出调解请求的，上市公司应当积极配合。</w:t>
      </w:r>
    </w:p>
    <w:p w14:paraId="27C4D72F" w14:textId="77777777" w:rsidR="00CD2893" w:rsidRDefault="00C77486">
      <w:pPr>
        <w:spacing w:after="168" w:line="259" w:lineRule="auto"/>
        <w:ind w:left="10" w:right="146" w:hanging="10"/>
        <w:jc w:val="right"/>
      </w:pPr>
      <w:r>
        <w:t>第十九条</w:t>
      </w:r>
      <w:r>
        <w:t xml:space="preserve"> </w:t>
      </w:r>
      <w:r>
        <w:t>投资者向</w:t>
      </w:r>
      <w:r>
        <w:t>上市公司提出的诉求，上市公司应当承担处理的首要责任，依法处理、及时答复投资者。</w:t>
      </w:r>
    </w:p>
    <w:p w14:paraId="457FE83C" w14:textId="77777777" w:rsidR="00CD2893" w:rsidRDefault="00C77486">
      <w:pPr>
        <w:ind w:left="-15"/>
      </w:pPr>
      <w:r>
        <w:t>第二十条</w:t>
      </w:r>
      <w:r>
        <w:t xml:space="preserve"> </w:t>
      </w:r>
      <w:r>
        <w:t>上市公司应当明确区分宣传广告与媒体报道，不应以宣传广告材料以及有偿手段影响媒体的客观独立报道。</w:t>
      </w:r>
    </w:p>
    <w:p w14:paraId="56FD2E8C" w14:textId="77777777" w:rsidR="00CD2893" w:rsidRDefault="00C77486">
      <w:pPr>
        <w:spacing w:after="557"/>
        <w:ind w:left="-15"/>
      </w:pPr>
      <w:r>
        <w:t>上市公司应当及时关注媒体的宣传报道，必要时予以适当回应。</w:t>
      </w:r>
    </w:p>
    <w:p w14:paraId="49EF8827" w14:textId="77777777" w:rsidR="00CD2893" w:rsidRDefault="00C77486">
      <w:pPr>
        <w:pStyle w:val="1"/>
        <w:ind w:right="168"/>
      </w:pPr>
      <w:r>
        <w:t>第三章</w:t>
      </w:r>
      <w:r>
        <w:t xml:space="preserve"> </w:t>
      </w:r>
      <w:r>
        <w:t>投资者关系管理的组织与实施</w:t>
      </w:r>
    </w:p>
    <w:p w14:paraId="05470B1A" w14:textId="77777777" w:rsidR="00CD2893" w:rsidRDefault="00C77486">
      <w:pPr>
        <w:ind w:left="-15"/>
      </w:pPr>
      <w:r>
        <w:t>第二十一条</w:t>
      </w:r>
      <w:r>
        <w:t xml:space="preserve"> </w:t>
      </w:r>
      <w:r>
        <w:t>上市公司投资者关系管理工作的主要职责包括：</w:t>
      </w:r>
    </w:p>
    <w:p w14:paraId="11818A23" w14:textId="77777777" w:rsidR="00CD2893" w:rsidRDefault="00C77486">
      <w:pPr>
        <w:numPr>
          <w:ilvl w:val="0"/>
          <w:numId w:val="4"/>
        </w:numPr>
        <w:spacing w:after="164" w:line="259" w:lineRule="auto"/>
      </w:pPr>
      <w:r>
        <w:t>拟定投资者关系管理制度，建立工作机制；</w:t>
      </w:r>
    </w:p>
    <w:p w14:paraId="319D2234" w14:textId="77777777" w:rsidR="00CD2893" w:rsidRDefault="00C77486">
      <w:pPr>
        <w:numPr>
          <w:ilvl w:val="0"/>
          <w:numId w:val="4"/>
        </w:numPr>
        <w:spacing w:after="164" w:line="259" w:lineRule="auto"/>
      </w:pPr>
      <w:r>
        <w:lastRenderedPageBreak/>
        <w:t>组织与投资者沟通联络的投资者关系管理活动；</w:t>
      </w:r>
    </w:p>
    <w:p w14:paraId="7435F549" w14:textId="77777777" w:rsidR="00CD2893" w:rsidRDefault="00C77486">
      <w:pPr>
        <w:numPr>
          <w:ilvl w:val="0"/>
          <w:numId w:val="4"/>
        </w:numPr>
      </w:pPr>
      <w:r>
        <w:t>组织及时妥善处理投资者咨询、投诉和建议等诉求，定期反馈给公司董事会以及管理层；</w:t>
      </w:r>
    </w:p>
    <w:p w14:paraId="550FEDE6" w14:textId="77777777" w:rsidR="00CD2893" w:rsidRDefault="00C77486">
      <w:pPr>
        <w:numPr>
          <w:ilvl w:val="0"/>
          <w:numId w:val="4"/>
        </w:numPr>
      </w:pPr>
      <w:r>
        <w:t>管理、运行和维护投资者关系管理的相关渠道和平台；</w:t>
      </w:r>
    </w:p>
    <w:p w14:paraId="5F267E79" w14:textId="77777777" w:rsidR="00CD2893" w:rsidRDefault="00C77486">
      <w:pPr>
        <w:numPr>
          <w:ilvl w:val="0"/>
          <w:numId w:val="4"/>
        </w:numPr>
        <w:spacing w:after="164" w:line="259" w:lineRule="auto"/>
      </w:pPr>
      <w:r>
        <w:t>保障投资者依法行使股东权利；</w:t>
      </w:r>
    </w:p>
    <w:p w14:paraId="62CED3B4" w14:textId="77777777" w:rsidR="00CD2893" w:rsidRDefault="00C77486">
      <w:pPr>
        <w:numPr>
          <w:ilvl w:val="0"/>
          <w:numId w:val="4"/>
        </w:numPr>
      </w:pPr>
      <w:r>
        <w:t>配合支持投资者保护机构开展维护投资者合法权益的相关工作；</w:t>
      </w:r>
    </w:p>
    <w:p w14:paraId="339C81E0" w14:textId="77777777" w:rsidR="00CD2893" w:rsidRDefault="00C77486">
      <w:pPr>
        <w:numPr>
          <w:ilvl w:val="0"/>
          <w:numId w:val="4"/>
        </w:numPr>
        <w:spacing w:after="164" w:line="259" w:lineRule="auto"/>
      </w:pPr>
      <w:r>
        <w:t>统计分析公司投资者的数量、构成以及变动等情况；</w:t>
      </w:r>
    </w:p>
    <w:p w14:paraId="162F2DEB" w14:textId="77777777" w:rsidR="00CD2893" w:rsidRDefault="00C77486">
      <w:pPr>
        <w:numPr>
          <w:ilvl w:val="0"/>
          <w:numId w:val="4"/>
        </w:numPr>
        <w:spacing w:after="167" w:line="259" w:lineRule="auto"/>
      </w:pPr>
      <w:r>
        <w:t>开展有利于改善投资者关系的其他活动。</w:t>
      </w:r>
    </w:p>
    <w:p w14:paraId="2B01450C" w14:textId="77777777" w:rsidR="00CD2893" w:rsidRDefault="00C77486">
      <w:pPr>
        <w:ind w:left="624" w:firstLine="0"/>
      </w:pPr>
      <w:r>
        <w:t>第二十二条</w:t>
      </w:r>
      <w:r>
        <w:t xml:space="preserve"> </w:t>
      </w:r>
      <w:r>
        <w:t>上市公司应当结合本公司实际制定投资者关系管理制度，明确工作原则、职责分工、工作机制、主要内容、方式渠道和工作要求等。</w:t>
      </w:r>
    </w:p>
    <w:p w14:paraId="6AC2AB6F" w14:textId="77777777" w:rsidR="00CD2893" w:rsidRDefault="00C77486">
      <w:pPr>
        <w:ind w:left="-15"/>
      </w:pPr>
      <w:r>
        <w:lastRenderedPageBreak/>
        <w:t>第二十三条</w:t>
      </w:r>
      <w:r>
        <w:t xml:space="preserve"> </w:t>
      </w:r>
      <w:r>
        <w:t>董事会秘书负责组织和协调投资者关系管理工作。上市公司控股股东、实际控制人以及董事、监事和高级管理人员应当为董事会秘书履行投资者关系管理工作职责提供</w:t>
      </w:r>
      <w:r>
        <w:t>便利条件。</w:t>
      </w:r>
    </w:p>
    <w:p w14:paraId="4937A581" w14:textId="77777777" w:rsidR="00CD2893" w:rsidRDefault="00C77486">
      <w:pPr>
        <w:ind w:left="-15"/>
      </w:pPr>
      <w:r>
        <w:t>第二十四条</w:t>
      </w:r>
      <w:r>
        <w:t xml:space="preserve"> </w:t>
      </w:r>
      <w:r>
        <w:t>上市公司需要设立或者指定专职部门，配备专门工作人员，负责开展投资者关系管理工作。</w:t>
      </w:r>
    </w:p>
    <w:p w14:paraId="76D51A14" w14:textId="77777777" w:rsidR="00CD2893" w:rsidRDefault="00C77486">
      <w:pPr>
        <w:ind w:left="-15"/>
      </w:pPr>
      <w:r>
        <w:t>第二十五条</w:t>
      </w:r>
      <w:r>
        <w:t xml:space="preserve"> </w:t>
      </w:r>
      <w:r>
        <w:t>上市公司及其控股股东、实际控制人、董事、监事、高级管理人员和工作人员不得在投资者关系管理活动中出现下列情形：</w:t>
      </w:r>
    </w:p>
    <w:p w14:paraId="685677C3" w14:textId="77777777" w:rsidR="00CD2893" w:rsidRDefault="00C77486">
      <w:pPr>
        <w:numPr>
          <w:ilvl w:val="0"/>
          <w:numId w:val="5"/>
        </w:numPr>
      </w:pPr>
      <w:r>
        <w:t>透露或者发布尚未公开的重大事件信息，或者与依法披露的信息相冲突的信息；</w:t>
      </w:r>
    </w:p>
    <w:p w14:paraId="583D4F7A" w14:textId="77777777" w:rsidR="00CD2893" w:rsidRDefault="00C77486">
      <w:pPr>
        <w:numPr>
          <w:ilvl w:val="0"/>
          <w:numId w:val="5"/>
        </w:numPr>
      </w:pPr>
      <w:r>
        <w:t>透露或者发布含有误导性、虚假性或者夸大性的信息；</w:t>
      </w:r>
    </w:p>
    <w:p w14:paraId="431EDAC7" w14:textId="77777777" w:rsidR="00CD2893" w:rsidRDefault="00C77486">
      <w:pPr>
        <w:numPr>
          <w:ilvl w:val="0"/>
          <w:numId w:val="5"/>
        </w:numPr>
        <w:spacing w:after="166" w:line="259" w:lineRule="auto"/>
      </w:pPr>
      <w:r>
        <w:t>选择性透露或者发布信息，或者存在重大遗漏；</w:t>
      </w:r>
    </w:p>
    <w:p w14:paraId="11BBEDDF" w14:textId="77777777" w:rsidR="00CD2893" w:rsidRDefault="00C77486">
      <w:pPr>
        <w:numPr>
          <w:ilvl w:val="0"/>
          <w:numId w:val="5"/>
        </w:numPr>
        <w:spacing w:after="164" w:line="259" w:lineRule="auto"/>
      </w:pPr>
      <w:r>
        <w:t>对公司证券价格</w:t>
      </w:r>
      <w:proofErr w:type="gramStart"/>
      <w:r>
        <w:t>作出</w:t>
      </w:r>
      <w:proofErr w:type="gramEnd"/>
      <w:r>
        <w:t>预测或承诺；</w:t>
      </w:r>
    </w:p>
    <w:p w14:paraId="71A134DD" w14:textId="77777777" w:rsidR="00CD2893" w:rsidRDefault="00C77486">
      <w:pPr>
        <w:numPr>
          <w:ilvl w:val="0"/>
          <w:numId w:val="5"/>
        </w:numPr>
        <w:spacing w:after="164" w:line="259" w:lineRule="auto"/>
      </w:pPr>
      <w:r>
        <w:t>未得到明确授权的情况下代表公司发言；</w:t>
      </w:r>
    </w:p>
    <w:p w14:paraId="5075EC9C" w14:textId="77777777" w:rsidR="00CD2893" w:rsidRDefault="00C77486">
      <w:pPr>
        <w:numPr>
          <w:ilvl w:val="0"/>
          <w:numId w:val="5"/>
        </w:numPr>
      </w:pPr>
      <w:r>
        <w:lastRenderedPageBreak/>
        <w:t>歧视、轻视等不公平对待中小股东或者造成不公平披露</w:t>
      </w:r>
      <w:r>
        <w:t>的行为；</w:t>
      </w:r>
    </w:p>
    <w:p w14:paraId="5702ECEB" w14:textId="77777777" w:rsidR="00CD2893" w:rsidRDefault="00C77486">
      <w:pPr>
        <w:numPr>
          <w:ilvl w:val="0"/>
          <w:numId w:val="5"/>
        </w:numPr>
        <w:spacing w:after="164" w:line="259" w:lineRule="auto"/>
      </w:pPr>
      <w:r>
        <w:t>违反公序良俗，损害社会公共利益；</w:t>
      </w:r>
    </w:p>
    <w:p w14:paraId="2647E1D1" w14:textId="77777777" w:rsidR="00CD2893" w:rsidRDefault="00C77486">
      <w:pPr>
        <w:numPr>
          <w:ilvl w:val="0"/>
          <w:numId w:val="5"/>
        </w:numPr>
        <w:spacing w:after="168" w:line="259" w:lineRule="auto"/>
      </w:pPr>
      <w:r>
        <w:t>其他违反信息披露规定，或者影响公司证券及其衍生品种正常交易的违法违规行为。</w:t>
      </w:r>
    </w:p>
    <w:p w14:paraId="2EAEDEBA" w14:textId="77777777" w:rsidR="00CD2893" w:rsidRDefault="00C77486">
      <w:pPr>
        <w:ind w:left="-15"/>
      </w:pPr>
      <w:r>
        <w:t>第二十六条</w:t>
      </w:r>
      <w:r>
        <w:t xml:space="preserve"> </w:t>
      </w:r>
      <w:r>
        <w:t>上市公司从事投资者关系管理工作的人员需要具备以下素质和技能：</w:t>
      </w:r>
    </w:p>
    <w:p w14:paraId="05A34A35" w14:textId="77777777" w:rsidR="00CD2893" w:rsidRDefault="00C77486">
      <w:pPr>
        <w:numPr>
          <w:ilvl w:val="0"/>
          <w:numId w:val="6"/>
        </w:numPr>
        <w:spacing w:after="166" w:line="259" w:lineRule="auto"/>
      </w:pPr>
      <w:r>
        <w:t>良好的品行和职业素养，诚实守信；</w:t>
      </w:r>
    </w:p>
    <w:p w14:paraId="6462956A" w14:textId="77777777" w:rsidR="00CD2893" w:rsidRDefault="00C77486">
      <w:pPr>
        <w:numPr>
          <w:ilvl w:val="0"/>
          <w:numId w:val="6"/>
        </w:numPr>
      </w:pPr>
      <w:r>
        <w:t>良好的专业知识结构，熟悉公司治理、财务会计等相关法律、法规和证券市场的运作机制；</w:t>
      </w:r>
    </w:p>
    <w:p w14:paraId="350AEC42" w14:textId="77777777" w:rsidR="00CD2893" w:rsidRDefault="00C77486">
      <w:pPr>
        <w:numPr>
          <w:ilvl w:val="0"/>
          <w:numId w:val="6"/>
        </w:numPr>
        <w:spacing w:after="166" w:line="259" w:lineRule="auto"/>
      </w:pPr>
      <w:r>
        <w:t>良好的沟通和协调能力；</w:t>
      </w:r>
    </w:p>
    <w:p w14:paraId="7F167744" w14:textId="77777777" w:rsidR="00CD2893" w:rsidRDefault="00C77486">
      <w:pPr>
        <w:numPr>
          <w:ilvl w:val="0"/>
          <w:numId w:val="6"/>
        </w:numPr>
        <w:spacing w:after="166" w:line="259" w:lineRule="auto"/>
      </w:pPr>
      <w:r>
        <w:t>全面了解公司以及公司所处行业的情况。</w:t>
      </w:r>
    </w:p>
    <w:p w14:paraId="1BEA5CFF" w14:textId="77777777" w:rsidR="00CD2893" w:rsidRDefault="00C77486">
      <w:pPr>
        <w:ind w:left="-15"/>
      </w:pPr>
      <w:r>
        <w:t>第二十七条</w:t>
      </w:r>
      <w:r>
        <w:t xml:space="preserve"> </w:t>
      </w:r>
      <w:r>
        <w:t>上市公司可以定期对董事、监事、</w:t>
      </w:r>
      <w:r>
        <w:t>高级管理人员和工作人员开展投资者关系管理工作的系统性培训。鼓励参加中国证监会及其派出机构和证券交易所、证券登记结算机构、上市公司协会等举办的相关培训。</w:t>
      </w:r>
    </w:p>
    <w:p w14:paraId="08FE6EB1" w14:textId="77777777" w:rsidR="00CD2893" w:rsidRDefault="00C77486">
      <w:pPr>
        <w:ind w:left="-15"/>
      </w:pPr>
      <w:r>
        <w:lastRenderedPageBreak/>
        <w:t>第二十八条</w:t>
      </w:r>
      <w:r>
        <w:t xml:space="preserve"> </w:t>
      </w:r>
      <w:r>
        <w:t>上市公司建立健全投资者关系管理档案，可以创建投资者关系管理数据库，以电子或纸质形式存档。</w:t>
      </w:r>
    </w:p>
    <w:p w14:paraId="23E93DCA" w14:textId="77777777" w:rsidR="00CD2893" w:rsidRDefault="00C77486">
      <w:pPr>
        <w:ind w:left="-15"/>
      </w:pPr>
      <w:r>
        <w:t>上市公司开展投资者关系管理各项活动，应当采用文字、图表、声像等方式记录活动情况和交流内容，记入投资者关系管理档案。档案的内容分类、利用公布、保管期限等由各证券交易所具体规定。</w:t>
      </w:r>
    </w:p>
    <w:p w14:paraId="45F43EC8" w14:textId="77777777" w:rsidR="00CD2893" w:rsidRDefault="00C77486">
      <w:pPr>
        <w:ind w:left="-15"/>
      </w:pPr>
      <w:r>
        <w:t>第二十九条</w:t>
      </w:r>
      <w:r>
        <w:t xml:space="preserve"> </w:t>
      </w:r>
      <w:r>
        <w:t>中国证监会及其派出机构依法对上市公司投资者关系管理及相关主体的行为进行监督管理，对存在重大问题的，督促其采取有效措施予以改善；对违法违规的，依据《证券法》等法律法规的相关规定采取监督管理措施或实施行政处罚。</w:t>
      </w:r>
      <w:r>
        <w:t>第三十条</w:t>
      </w:r>
      <w:r>
        <w:t xml:space="preserve"> </w:t>
      </w:r>
      <w:r>
        <w:t>证券交易所、上市公司协会等自律组织，可以依照本指引规定，制定相关自律规则，对上市公司投资者关系管理进行自律管理。</w:t>
      </w:r>
    </w:p>
    <w:p w14:paraId="461954AD" w14:textId="77777777" w:rsidR="00CD2893" w:rsidRDefault="00C77486">
      <w:pPr>
        <w:spacing w:after="557"/>
        <w:ind w:left="-15"/>
      </w:pPr>
      <w:r>
        <w:t>第三十一条</w:t>
      </w:r>
      <w:r>
        <w:t xml:space="preserve"> </w:t>
      </w:r>
      <w:r>
        <w:t>中国证监会及其派出机构，证券交易所、上市公司协会等自律组织和投资者保护机构，可以对上市公司投资者关系管</w:t>
      </w:r>
      <w:r>
        <w:lastRenderedPageBreak/>
        <w:t>理状况进行评估评价，发布投资者关系管理的</w:t>
      </w:r>
      <w:proofErr w:type="gramStart"/>
      <w:r>
        <w:t>良好实践</w:t>
      </w:r>
      <w:proofErr w:type="gramEnd"/>
      <w:r>
        <w:t>案例和经验，促进上市</w:t>
      </w:r>
      <w:r>
        <w:t>公司不断提升投资者关系管理水平。</w:t>
      </w:r>
    </w:p>
    <w:p w14:paraId="54D23867" w14:textId="77777777" w:rsidR="00CD2893" w:rsidRDefault="00C77486">
      <w:pPr>
        <w:pStyle w:val="1"/>
      </w:pPr>
      <w:r>
        <w:t>第四章</w:t>
      </w:r>
      <w:r>
        <w:t xml:space="preserve"> </w:t>
      </w:r>
      <w:r>
        <w:t>附</w:t>
      </w:r>
      <w:r>
        <w:t xml:space="preserve"> </w:t>
      </w:r>
      <w:r>
        <w:t>则</w:t>
      </w:r>
    </w:p>
    <w:p w14:paraId="1FCAB32B" w14:textId="77777777" w:rsidR="00CD2893" w:rsidRDefault="00C77486">
      <w:pPr>
        <w:spacing w:after="4"/>
        <w:ind w:left="-15" w:right="143"/>
        <w:jc w:val="both"/>
      </w:pPr>
      <w:r>
        <w:t>第三十二条</w:t>
      </w:r>
      <w:r>
        <w:t xml:space="preserve"> </w:t>
      </w:r>
      <w:r>
        <w:t>本指引自</w:t>
      </w:r>
      <w:r>
        <w:t>2022</w:t>
      </w:r>
      <w:r>
        <w:t>年</w:t>
      </w:r>
      <w:r>
        <w:t>5</w:t>
      </w:r>
      <w:r>
        <w:t>月</w:t>
      </w:r>
      <w:r>
        <w:t>15</w:t>
      </w:r>
      <w:r>
        <w:t>日起施行。《上市公司与投资者关系工作指引》（证</w:t>
      </w:r>
      <w:proofErr w:type="gramStart"/>
      <w:r>
        <w:t>监公司字</w:t>
      </w:r>
      <w:proofErr w:type="gramEnd"/>
      <w:r>
        <w:t>〔</w:t>
      </w:r>
      <w:r>
        <w:t>2005</w:t>
      </w:r>
      <w:r>
        <w:t>〕</w:t>
      </w:r>
      <w:r>
        <w:t>52</w:t>
      </w:r>
      <w:r>
        <w:t>号）同时废止。</w:t>
      </w:r>
    </w:p>
    <w:sectPr w:rsidR="00CD2893">
      <w:footerReference w:type="even" r:id="rId7"/>
      <w:footerReference w:type="default" r:id="rId8"/>
      <w:footerReference w:type="first" r:id="rId9"/>
      <w:pgSz w:w="11907" w:h="16840"/>
      <w:pgMar w:top="2280" w:right="1522" w:bottom="2462" w:left="1589" w:header="720" w:footer="1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3B433" w14:textId="77777777" w:rsidR="00C77486" w:rsidRDefault="00C77486">
      <w:pPr>
        <w:spacing w:after="0" w:line="240" w:lineRule="auto"/>
      </w:pPr>
      <w:r>
        <w:separator/>
      </w:r>
    </w:p>
  </w:endnote>
  <w:endnote w:type="continuationSeparator" w:id="0">
    <w:p w14:paraId="31320F45" w14:textId="77777777" w:rsidR="00C77486" w:rsidRDefault="00C77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6A6E" w14:textId="77777777" w:rsidR="00CD2893" w:rsidRDefault="00C77486">
    <w:pPr>
      <w:spacing w:after="0" w:line="259" w:lineRule="auto"/>
      <w:ind w:right="66" w:firstLine="0"/>
      <w:jc w:val="center"/>
    </w:pPr>
    <w:r>
      <w:fldChar w:fldCharType="begin"/>
    </w:r>
    <w:r>
      <w:instrText xml:space="preserve"> PAGE   \* MERGEFORMAT </w:instrText>
    </w:r>
    <w:r>
      <w:fldChar w:fldCharType="separate"/>
    </w:r>
    <w:r>
      <w:rPr>
        <w:sz w:val="18"/>
      </w:rPr>
      <w:t>1</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3FA3" w14:textId="77777777" w:rsidR="00CD2893" w:rsidRDefault="00C77486">
    <w:pPr>
      <w:spacing w:after="0" w:line="259" w:lineRule="auto"/>
      <w:ind w:right="66" w:firstLine="0"/>
      <w:jc w:val="center"/>
    </w:pPr>
    <w:r>
      <w:fldChar w:fldCharType="begin"/>
    </w:r>
    <w:r>
      <w:instrText xml:space="preserve"> PAGE   \* MERGEFORMAT </w:instrText>
    </w:r>
    <w:r>
      <w:fldChar w:fldCharType="separate"/>
    </w:r>
    <w:r>
      <w:rPr>
        <w:sz w:val="18"/>
      </w:rPr>
      <w:t>1</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7568" w14:textId="77777777" w:rsidR="00CD2893" w:rsidRDefault="00C77486">
    <w:pPr>
      <w:spacing w:after="0" w:line="259" w:lineRule="auto"/>
      <w:ind w:right="66" w:firstLine="0"/>
      <w:jc w:val="center"/>
    </w:pPr>
    <w:r>
      <w:fldChar w:fldCharType="begin"/>
    </w:r>
    <w:r>
      <w:instrText xml:space="preserve"> PAGE   \* MERGEFORMAT </w:instrText>
    </w:r>
    <w:r>
      <w:fldChar w:fldCharType="separate"/>
    </w:r>
    <w:r>
      <w:rPr>
        <w:sz w:val="18"/>
      </w:rPr>
      <w:t>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8F3D9" w14:textId="77777777" w:rsidR="00C77486" w:rsidRDefault="00C77486">
      <w:pPr>
        <w:spacing w:after="0" w:line="240" w:lineRule="auto"/>
      </w:pPr>
      <w:r>
        <w:separator/>
      </w:r>
    </w:p>
  </w:footnote>
  <w:footnote w:type="continuationSeparator" w:id="0">
    <w:p w14:paraId="621D48C8" w14:textId="77777777" w:rsidR="00C77486" w:rsidRDefault="00C77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A20"/>
    <w:multiLevelType w:val="hybridMultilevel"/>
    <w:tmpl w:val="F5705A74"/>
    <w:lvl w:ilvl="0" w:tplc="9A726E18">
      <w:start w:val="1"/>
      <w:numFmt w:val="ideographDigital"/>
      <w:lvlText w:val="（%1）"/>
      <w:lvlJc w:val="left"/>
      <w:pPr>
        <w:ind w:left="62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1" w:tplc="0DDC28AE">
      <w:start w:val="1"/>
      <w:numFmt w:val="lowerLetter"/>
      <w:lvlText w:val="%2"/>
      <w:lvlJc w:val="left"/>
      <w:pPr>
        <w:ind w:left="170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2" w:tplc="224C1282">
      <w:start w:val="1"/>
      <w:numFmt w:val="lowerRoman"/>
      <w:lvlText w:val="%3"/>
      <w:lvlJc w:val="left"/>
      <w:pPr>
        <w:ind w:left="242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3" w:tplc="4EB4CCB6">
      <w:start w:val="1"/>
      <w:numFmt w:val="decimal"/>
      <w:lvlText w:val="%4"/>
      <w:lvlJc w:val="left"/>
      <w:pPr>
        <w:ind w:left="314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4" w:tplc="FB5A5B58">
      <w:start w:val="1"/>
      <w:numFmt w:val="lowerLetter"/>
      <w:lvlText w:val="%5"/>
      <w:lvlJc w:val="left"/>
      <w:pPr>
        <w:ind w:left="386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5" w:tplc="D2F6D788">
      <w:start w:val="1"/>
      <w:numFmt w:val="lowerRoman"/>
      <w:lvlText w:val="%6"/>
      <w:lvlJc w:val="left"/>
      <w:pPr>
        <w:ind w:left="458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6" w:tplc="F41C9738">
      <w:start w:val="1"/>
      <w:numFmt w:val="decimal"/>
      <w:lvlText w:val="%7"/>
      <w:lvlJc w:val="left"/>
      <w:pPr>
        <w:ind w:left="530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7" w:tplc="C65C4AD2">
      <w:start w:val="1"/>
      <w:numFmt w:val="lowerLetter"/>
      <w:lvlText w:val="%8"/>
      <w:lvlJc w:val="left"/>
      <w:pPr>
        <w:ind w:left="602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8" w:tplc="E71EFC1C">
      <w:start w:val="1"/>
      <w:numFmt w:val="lowerRoman"/>
      <w:lvlText w:val="%9"/>
      <w:lvlJc w:val="left"/>
      <w:pPr>
        <w:ind w:left="674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26CE5569"/>
    <w:multiLevelType w:val="hybridMultilevel"/>
    <w:tmpl w:val="DDA469B4"/>
    <w:lvl w:ilvl="0" w:tplc="94AC2E80">
      <w:start w:val="1"/>
      <w:numFmt w:val="ideographDigital"/>
      <w:lvlText w:val="（%1）"/>
      <w:lvlJc w:val="left"/>
      <w:pPr>
        <w:ind w:left="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1" w:tplc="6E1E111C">
      <w:start w:val="1"/>
      <w:numFmt w:val="lowerLetter"/>
      <w:lvlText w:val="%2"/>
      <w:lvlJc w:val="left"/>
      <w:pPr>
        <w:ind w:left="170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2" w:tplc="A2C4B64E">
      <w:start w:val="1"/>
      <w:numFmt w:val="lowerRoman"/>
      <w:lvlText w:val="%3"/>
      <w:lvlJc w:val="left"/>
      <w:pPr>
        <w:ind w:left="242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3" w:tplc="3BCEB58E">
      <w:start w:val="1"/>
      <w:numFmt w:val="decimal"/>
      <w:lvlText w:val="%4"/>
      <w:lvlJc w:val="left"/>
      <w:pPr>
        <w:ind w:left="314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4" w:tplc="BACC9F3A">
      <w:start w:val="1"/>
      <w:numFmt w:val="lowerLetter"/>
      <w:lvlText w:val="%5"/>
      <w:lvlJc w:val="left"/>
      <w:pPr>
        <w:ind w:left="386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5" w:tplc="EF1C9ABC">
      <w:start w:val="1"/>
      <w:numFmt w:val="lowerRoman"/>
      <w:lvlText w:val="%6"/>
      <w:lvlJc w:val="left"/>
      <w:pPr>
        <w:ind w:left="458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6" w:tplc="A39E7BD8">
      <w:start w:val="1"/>
      <w:numFmt w:val="decimal"/>
      <w:lvlText w:val="%7"/>
      <w:lvlJc w:val="left"/>
      <w:pPr>
        <w:ind w:left="530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7" w:tplc="A9A2581C">
      <w:start w:val="1"/>
      <w:numFmt w:val="lowerLetter"/>
      <w:lvlText w:val="%8"/>
      <w:lvlJc w:val="left"/>
      <w:pPr>
        <w:ind w:left="602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8" w:tplc="9DCC297C">
      <w:start w:val="1"/>
      <w:numFmt w:val="lowerRoman"/>
      <w:lvlText w:val="%9"/>
      <w:lvlJc w:val="left"/>
      <w:pPr>
        <w:ind w:left="674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26E4401E"/>
    <w:multiLevelType w:val="hybridMultilevel"/>
    <w:tmpl w:val="F5F8EF76"/>
    <w:lvl w:ilvl="0" w:tplc="24EA6790">
      <w:start w:val="1"/>
      <w:numFmt w:val="ideographDigital"/>
      <w:lvlText w:val="（%1）"/>
      <w:lvlJc w:val="left"/>
      <w:pPr>
        <w:ind w:left="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1" w:tplc="74F43362">
      <w:start w:val="1"/>
      <w:numFmt w:val="lowerLetter"/>
      <w:lvlText w:val="%2"/>
      <w:lvlJc w:val="left"/>
      <w:pPr>
        <w:ind w:left="170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2" w:tplc="BFD852B6">
      <w:start w:val="1"/>
      <w:numFmt w:val="lowerRoman"/>
      <w:lvlText w:val="%3"/>
      <w:lvlJc w:val="left"/>
      <w:pPr>
        <w:ind w:left="242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3" w:tplc="8AE87140">
      <w:start w:val="1"/>
      <w:numFmt w:val="decimal"/>
      <w:lvlText w:val="%4"/>
      <w:lvlJc w:val="left"/>
      <w:pPr>
        <w:ind w:left="314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4" w:tplc="1DB2ADCC">
      <w:start w:val="1"/>
      <w:numFmt w:val="lowerLetter"/>
      <w:lvlText w:val="%5"/>
      <w:lvlJc w:val="left"/>
      <w:pPr>
        <w:ind w:left="386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5" w:tplc="E800C3C0">
      <w:start w:val="1"/>
      <w:numFmt w:val="lowerRoman"/>
      <w:lvlText w:val="%6"/>
      <w:lvlJc w:val="left"/>
      <w:pPr>
        <w:ind w:left="458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6" w:tplc="405C7180">
      <w:start w:val="1"/>
      <w:numFmt w:val="decimal"/>
      <w:lvlText w:val="%7"/>
      <w:lvlJc w:val="left"/>
      <w:pPr>
        <w:ind w:left="530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7" w:tplc="950EE31E">
      <w:start w:val="1"/>
      <w:numFmt w:val="lowerLetter"/>
      <w:lvlText w:val="%8"/>
      <w:lvlJc w:val="left"/>
      <w:pPr>
        <w:ind w:left="602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8" w:tplc="9C0C2938">
      <w:start w:val="1"/>
      <w:numFmt w:val="lowerRoman"/>
      <w:lvlText w:val="%9"/>
      <w:lvlJc w:val="left"/>
      <w:pPr>
        <w:ind w:left="674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514B5EDE"/>
    <w:multiLevelType w:val="hybridMultilevel"/>
    <w:tmpl w:val="90B05658"/>
    <w:lvl w:ilvl="0" w:tplc="DE04CBFA">
      <w:start w:val="1"/>
      <w:numFmt w:val="ideographDigital"/>
      <w:lvlText w:val="（%1）"/>
      <w:lvlJc w:val="left"/>
      <w:pPr>
        <w:ind w:left="62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1" w:tplc="E59E9440">
      <w:start w:val="1"/>
      <w:numFmt w:val="lowerLetter"/>
      <w:lvlText w:val="%2"/>
      <w:lvlJc w:val="left"/>
      <w:pPr>
        <w:ind w:left="170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2" w:tplc="EA5668E0">
      <w:start w:val="1"/>
      <w:numFmt w:val="lowerRoman"/>
      <w:lvlText w:val="%3"/>
      <w:lvlJc w:val="left"/>
      <w:pPr>
        <w:ind w:left="242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3" w:tplc="CB7845F4">
      <w:start w:val="1"/>
      <w:numFmt w:val="decimal"/>
      <w:lvlText w:val="%4"/>
      <w:lvlJc w:val="left"/>
      <w:pPr>
        <w:ind w:left="314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4" w:tplc="ECFAD9F0">
      <w:start w:val="1"/>
      <w:numFmt w:val="lowerLetter"/>
      <w:lvlText w:val="%5"/>
      <w:lvlJc w:val="left"/>
      <w:pPr>
        <w:ind w:left="386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5" w:tplc="5402259C">
      <w:start w:val="1"/>
      <w:numFmt w:val="lowerRoman"/>
      <w:lvlText w:val="%6"/>
      <w:lvlJc w:val="left"/>
      <w:pPr>
        <w:ind w:left="458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6" w:tplc="553A10F8">
      <w:start w:val="1"/>
      <w:numFmt w:val="decimal"/>
      <w:lvlText w:val="%7"/>
      <w:lvlJc w:val="left"/>
      <w:pPr>
        <w:ind w:left="530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7" w:tplc="5CE41C2E">
      <w:start w:val="1"/>
      <w:numFmt w:val="lowerLetter"/>
      <w:lvlText w:val="%8"/>
      <w:lvlJc w:val="left"/>
      <w:pPr>
        <w:ind w:left="602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8" w:tplc="5CBE4AEC">
      <w:start w:val="1"/>
      <w:numFmt w:val="lowerRoman"/>
      <w:lvlText w:val="%9"/>
      <w:lvlJc w:val="left"/>
      <w:pPr>
        <w:ind w:left="674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548B2698"/>
    <w:multiLevelType w:val="hybridMultilevel"/>
    <w:tmpl w:val="91EC8956"/>
    <w:lvl w:ilvl="0" w:tplc="452E5700">
      <w:start w:val="1"/>
      <w:numFmt w:val="ideographDigital"/>
      <w:lvlText w:val="（%1）"/>
      <w:lvlJc w:val="left"/>
      <w:pPr>
        <w:ind w:left="1558"/>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1" w:tplc="F6AE2AE8">
      <w:start w:val="1"/>
      <w:numFmt w:val="lowerLetter"/>
      <w:lvlText w:val="%2"/>
      <w:lvlJc w:val="left"/>
      <w:pPr>
        <w:ind w:left="170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2" w:tplc="61FA3E7C">
      <w:start w:val="1"/>
      <w:numFmt w:val="lowerRoman"/>
      <w:lvlText w:val="%3"/>
      <w:lvlJc w:val="left"/>
      <w:pPr>
        <w:ind w:left="242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3" w:tplc="8876B23E">
      <w:start w:val="1"/>
      <w:numFmt w:val="decimal"/>
      <w:lvlText w:val="%4"/>
      <w:lvlJc w:val="left"/>
      <w:pPr>
        <w:ind w:left="314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4" w:tplc="A0985760">
      <w:start w:val="1"/>
      <w:numFmt w:val="lowerLetter"/>
      <w:lvlText w:val="%5"/>
      <w:lvlJc w:val="left"/>
      <w:pPr>
        <w:ind w:left="386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5" w:tplc="6FA0D1D6">
      <w:start w:val="1"/>
      <w:numFmt w:val="lowerRoman"/>
      <w:lvlText w:val="%6"/>
      <w:lvlJc w:val="left"/>
      <w:pPr>
        <w:ind w:left="458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6" w:tplc="B122F994">
      <w:start w:val="1"/>
      <w:numFmt w:val="decimal"/>
      <w:lvlText w:val="%7"/>
      <w:lvlJc w:val="left"/>
      <w:pPr>
        <w:ind w:left="530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7" w:tplc="30023E78">
      <w:start w:val="1"/>
      <w:numFmt w:val="lowerLetter"/>
      <w:lvlText w:val="%8"/>
      <w:lvlJc w:val="left"/>
      <w:pPr>
        <w:ind w:left="602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8" w:tplc="D720951A">
      <w:start w:val="1"/>
      <w:numFmt w:val="lowerRoman"/>
      <w:lvlText w:val="%9"/>
      <w:lvlJc w:val="left"/>
      <w:pPr>
        <w:ind w:left="674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69E121B0"/>
    <w:multiLevelType w:val="hybridMultilevel"/>
    <w:tmpl w:val="07349A88"/>
    <w:lvl w:ilvl="0" w:tplc="E1DA0B7A">
      <w:start w:val="1"/>
      <w:numFmt w:val="ideographDigital"/>
      <w:lvlText w:val="（%1）"/>
      <w:lvlJc w:val="left"/>
      <w:pPr>
        <w:ind w:left="62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1" w:tplc="AB94EF74">
      <w:start w:val="1"/>
      <w:numFmt w:val="lowerLetter"/>
      <w:lvlText w:val="%2"/>
      <w:lvlJc w:val="left"/>
      <w:pPr>
        <w:ind w:left="170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2" w:tplc="DD860B50">
      <w:start w:val="1"/>
      <w:numFmt w:val="lowerRoman"/>
      <w:lvlText w:val="%3"/>
      <w:lvlJc w:val="left"/>
      <w:pPr>
        <w:ind w:left="242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3" w:tplc="4A4E1C30">
      <w:start w:val="1"/>
      <w:numFmt w:val="decimal"/>
      <w:lvlText w:val="%4"/>
      <w:lvlJc w:val="left"/>
      <w:pPr>
        <w:ind w:left="314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4" w:tplc="C5A6291E">
      <w:start w:val="1"/>
      <w:numFmt w:val="lowerLetter"/>
      <w:lvlText w:val="%5"/>
      <w:lvlJc w:val="left"/>
      <w:pPr>
        <w:ind w:left="386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5" w:tplc="A65814BA">
      <w:start w:val="1"/>
      <w:numFmt w:val="lowerRoman"/>
      <w:lvlText w:val="%6"/>
      <w:lvlJc w:val="left"/>
      <w:pPr>
        <w:ind w:left="458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6" w:tplc="62909FC4">
      <w:start w:val="1"/>
      <w:numFmt w:val="decimal"/>
      <w:lvlText w:val="%7"/>
      <w:lvlJc w:val="left"/>
      <w:pPr>
        <w:ind w:left="530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7" w:tplc="D2A827CE">
      <w:start w:val="1"/>
      <w:numFmt w:val="lowerLetter"/>
      <w:lvlText w:val="%8"/>
      <w:lvlJc w:val="left"/>
      <w:pPr>
        <w:ind w:left="602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8" w:tplc="563C912E">
      <w:start w:val="1"/>
      <w:numFmt w:val="lowerRoman"/>
      <w:lvlText w:val="%9"/>
      <w:lvlJc w:val="left"/>
      <w:pPr>
        <w:ind w:left="674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abstractNum>
  <w:num w:numId="1" w16cid:durableId="1960640662">
    <w:abstractNumId w:val="2"/>
  </w:num>
  <w:num w:numId="2" w16cid:durableId="1935898489">
    <w:abstractNumId w:val="4"/>
  </w:num>
  <w:num w:numId="3" w16cid:durableId="1968659989">
    <w:abstractNumId w:val="1"/>
  </w:num>
  <w:num w:numId="4" w16cid:durableId="714089318">
    <w:abstractNumId w:val="5"/>
  </w:num>
  <w:num w:numId="5" w16cid:durableId="1502088854">
    <w:abstractNumId w:val="3"/>
  </w:num>
  <w:num w:numId="6" w16cid:durableId="1988588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893"/>
    <w:rsid w:val="00065560"/>
    <w:rsid w:val="00C77486"/>
    <w:rsid w:val="00CD2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507ED"/>
  <w15:docId w15:val="{8D545D8C-5B4B-40D9-9813-27D08E99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 w:line="370" w:lineRule="auto"/>
      <w:ind w:firstLine="614"/>
    </w:pPr>
    <w:rPr>
      <w:rFonts w:ascii="微软雅黑" w:eastAsia="微软雅黑" w:hAnsi="微软雅黑" w:cs="微软雅黑"/>
      <w:color w:val="000000"/>
      <w:sz w:val="30"/>
    </w:rPr>
  </w:style>
  <w:style w:type="paragraph" w:styleId="1">
    <w:name w:val="heading 1"/>
    <w:next w:val="a"/>
    <w:link w:val="10"/>
    <w:uiPriority w:val="9"/>
    <w:qFormat/>
    <w:pPr>
      <w:keepNext/>
      <w:keepLines/>
      <w:spacing w:after="645" w:line="346" w:lineRule="auto"/>
      <w:ind w:left="10" w:right="175" w:hanging="10"/>
      <w:jc w:val="center"/>
      <w:outlineLvl w:val="0"/>
    </w:pPr>
    <w:rPr>
      <w:rFonts w:ascii="微软雅黑" w:eastAsia="微软雅黑" w:hAnsi="微软雅黑" w:cs="微软雅黑"/>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微软雅黑" w:eastAsia="微软雅黑" w:hAnsi="微软雅黑" w:cs="微软雅黑"/>
      <w:color w:val="000000"/>
      <w:sz w:val="30"/>
    </w:rPr>
  </w:style>
  <w:style w:type="paragraph" w:styleId="a3">
    <w:name w:val="header"/>
    <w:basedOn w:val="a"/>
    <w:link w:val="a4"/>
    <w:uiPriority w:val="99"/>
    <w:unhideWhenUsed/>
    <w:rsid w:val="00065560"/>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065560"/>
    <w:rPr>
      <w:rFonts w:ascii="微软雅黑" w:eastAsia="微软雅黑" w:hAnsi="微软雅黑" w:cs="微软雅黑"/>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中国证券监督管理委员会公告</dc:title>
  <dc:subject/>
  <dc:creator>user</dc:creator>
  <cp:keywords/>
  <cp:lastModifiedBy>A2949</cp:lastModifiedBy>
  <cp:revision>2</cp:revision>
  <dcterms:created xsi:type="dcterms:W3CDTF">2022-04-16T11:48:00Z</dcterms:created>
  <dcterms:modified xsi:type="dcterms:W3CDTF">2022-04-16T11:48:00Z</dcterms:modified>
</cp:coreProperties>
</file>