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62A8" w14:textId="77777777" w:rsidR="003819B4" w:rsidRDefault="00742E2C">
      <w:pPr>
        <w:spacing w:after="612" w:line="320" w:lineRule="auto"/>
        <w:ind w:left="3432" w:hanging="2340"/>
      </w:pPr>
      <w:r>
        <w:rPr>
          <w:rFonts w:ascii="黑体" w:eastAsia="黑体" w:hAnsi="黑体" w:cs="黑体"/>
          <w:sz w:val="36"/>
        </w:rPr>
        <w:t>《上市公司投资者关系管理工作指引》修订说明</w:t>
      </w:r>
    </w:p>
    <w:p w14:paraId="3A41BEB1" w14:textId="77777777" w:rsidR="003819B4" w:rsidRDefault="00742E2C">
      <w:pPr>
        <w:ind w:left="-15" w:firstLine="641"/>
      </w:pPr>
      <w:r>
        <w:t>为贯彻落实新《证券法》和《国务院关于进一步提高上市公司质量的意见》（国发〔</w:t>
      </w:r>
      <w:r>
        <w:rPr>
          <w:rFonts w:ascii="Times New Roman" w:eastAsia="Times New Roman" w:hAnsi="Times New Roman" w:cs="Times New Roman"/>
        </w:rPr>
        <w:t>2020</w:t>
      </w:r>
      <w:r>
        <w:t>〕</w:t>
      </w:r>
      <w:r>
        <w:rPr>
          <w:rFonts w:ascii="Times New Roman" w:eastAsia="Times New Roman" w:hAnsi="Times New Roman" w:cs="Times New Roman"/>
        </w:rPr>
        <w:t>14</w:t>
      </w:r>
      <w:r>
        <w:t>号），进一步规范上市公司投资者关系管理，中国证监会对《上市公司与投资者关系工作指引》（证</w:t>
      </w:r>
      <w:proofErr w:type="gramStart"/>
      <w:r>
        <w:t>监公司字</w:t>
      </w:r>
      <w:proofErr w:type="gramEnd"/>
      <w:r>
        <w:t>〔</w:t>
      </w:r>
      <w:r>
        <w:rPr>
          <w:rFonts w:ascii="Times New Roman" w:eastAsia="Times New Roman" w:hAnsi="Times New Roman" w:cs="Times New Roman"/>
        </w:rPr>
        <w:t>2005</w:t>
      </w:r>
      <w:r>
        <w:t>〕</w:t>
      </w:r>
      <w:r>
        <w:rPr>
          <w:rFonts w:ascii="Times New Roman" w:eastAsia="Times New Roman" w:hAnsi="Times New Roman" w:cs="Times New Roman"/>
        </w:rPr>
        <w:t>52</w:t>
      </w:r>
      <w:r>
        <w:t>号，以下简称《指引（</w:t>
      </w:r>
      <w:r>
        <w:rPr>
          <w:rFonts w:ascii="Times New Roman" w:eastAsia="Times New Roman" w:hAnsi="Times New Roman" w:cs="Times New Roman"/>
        </w:rPr>
        <w:t>2005</w:t>
      </w:r>
      <w:r>
        <w:t>）》）进行了修订，形成了《上市公司投资者关系管理工作指引》（以下简称《指引》）。现说明如下：</w:t>
      </w:r>
    </w:p>
    <w:p w14:paraId="073D694A" w14:textId="77777777" w:rsidR="003819B4" w:rsidRDefault="00742E2C">
      <w:pPr>
        <w:pStyle w:val="1"/>
        <w:ind w:left="636"/>
      </w:pPr>
      <w:r>
        <w:t>一、修订背景</w:t>
      </w:r>
    </w:p>
    <w:p w14:paraId="59FCFF51" w14:textId="77777777" w:rsidR="003819B4" w:rsidRDefault="00742E2C">
      <w:pPr>
        <w:spacing w:after="185" w:line="259" w:lineRule="auto"/>
        <w:ind w:left="0" w:firstLine="0"/>
        <w:jc w:val="right"/>
      </w:pPr>
      <w:r>
        <w:t>强化投资者关系管理，是提高上市公司质量的重要举措，</w:t>
      </w:r>
    </w:p>
    <w:p w14:paraId="59DBB28C" w14:textId="77777777" w:rsidR="003819B4" w:rsidRDefault="00742E2C">
      <w:pPr>
        <w:spacing w:after="173"/>
        <w:ind w:left="-5"/>
      </w:pPr>
      <w:r>
        <w:t>也是投资者保护的重要内容。</w:t>
      </w:r>
      <w:r>
        <w:rPr>
          <w:rFonts w:ascii="Times New Roman" w:eastAsia="Times New Roman" w:hAnsi="Times New Roman" w:cs="Times New Roman"/>
        </w:rPr>
        <w:t>2005</w:t>
      </w:r>
      <w:r>
        <w:t>年</w:t>
      </w:r>
      <w:r>
        <w:rPr>
          <w:rFonts w:ascii="Times New Roman" w:eastAsia="Times New Roman" w:hAnsi="Times New Roman" w:cs="Times New Roman"/>
        </w:rPr>
        <w:t>7</w:t>
      </w:r>
      <w:r>
        <w:t>月，中国证监会发布了《指引（</w:t>
      </w:r>
      <w:r>
        <w:rPr>
          <w:rFonts w:ascii="Times New Roman" w:eastAsia="Times New Roman" w:hAnsi="Times New Roman" w:cs="Times New Roman"/>
        </w:rPr>
        <w:t>2005</w:t>
      </w:r>
      <w:r>
        <w:t>）》，作为上市公司开展投资者关系管理工作的基本行为指南。实施以来，在指导上市公司开展投资者关系管理、推进上市公司规范运作、保护投资者合法权益等方面发挥了积极作用。近年来，随着资本市场全面深化改革的不断推进、证券市场基础制度的不断完善，对上市公司加强投资者关系管理提出了新要求；上市公司投资者关系管理实践积累了新做法新经验；互联网的发展使投资者关系管理方式产生了新的变化；资本市场双向开放也带来了一些新情况，</w:t>
      </w:r>
    </w:p>
    <w:p w14:paraId="5C5D82D1" w14:textId="77777777" w:rsidR="003819B4" w:rsidRDefault="00742E2C">
      <w:pPr>
        <w:spacing w:after="185" w:line="259" w:lineRule="auto"/>
        <w:ind w:left="-5"/>
      </w:pPr>
      <w:r>
        <w:lastRenderedPageBreak/>
        <w:t>因此有必要梳理总结近年来上市公司具体实践，对</w:t>
      </w:r>
      <w:proofErr w:type="gramStart"/>
      <w:r>
        <w:t>《</w:t>
      </w:r>
      <w:proofErr w:type="gramEnd"/>
      <w:r>
        <w:t>指引</w:t>
      </w:r>
    </w:p>
    <w:p w14:paraId="0A708397" w14:textId="77777777" w:rsidR="003819B4" w:rsidRDefault="00742E2C">
      <w:pPr>
        <w:ind w:left="-5"/>
      </w:pPr>
      <w:r>
        <w:t>（</w:t>
      </w:r>
      <w:r>
        <w:rPr>
          <w:rFonts w:ascii="Times New Roman" w:eastAsia="Times New Roman" w:hAnsi="Times New Roman" w:cs="Times New Roman"/>
        </w:rPr>
        <w:t>2005</w:t>
      </w:r>
      <w:r>
        <w:t>）</w:t>
      </w:r>
      <w:proofErr w:type="gramStart"/>
      <w:r>
        <w:t>》</w:t>
      </w:r>
      <w:proofErr w:type="gramEnd"/>
      <w:r>
        <w:t>进行修订和完善，这也是贯彻落实</w:t>
      </w:r>
      <w:r>
        <w:t>好新《证券法》的重要举措。</w:t>
      </w:r>
    </w:p>
    <w:p w14:paraId="1974EE68" w14:textId="77777777" w:rsidR="003819B4" w:rsidRDefault="00742E2C">
      <w:pPr>
        <w:pStyle w:val="1"/>
        <w:ind w:left="636"/>
      </w:pPr>
      <w:r>
        <w:t>二、主要修订内容</w:t>
      </w:r>
    </w:p>
    <w:p w14:paraId="35EAC840" w14:textId="77777777" w:rsidR="003819B4" w:rsidRDefault="00742E2C">
      <w:pPr>
        <w:numPr>
          <w:ilvl w:val="0"/>
          <w:numId w:val="1"/>
        </w:numPr>
        <w:ind w:firstLine="641"/>
      </w:pPr>
      <w:r>
        <w:rPr>
          <w:rFonts w:ascii="楷体" w:eastAsia="楷体" w:hAnsi="楷体" w:cs="楷体"/>
        </w:rPr>
        <w:t>进一步明确投资者关系管理的定义、适用范围和原则。</w:t>
      </w:r>
      <w:r>
        <w:rPr>
          <w:rFonts w:ascii="黑体" w:eastAsia="黑体" w:hAnsi="黑体" w:cs="黑体"/>
        </w:rPr>
        <w:t>一是</w:t>
      </w:r>
      <w:r>
        <w:t>从内容、方式和目的等维度对投资者关系管理进行界定。</w:t>
      </w:r>
      <w:r>
        <w:rPr>
          <w:rFonts w:ascii="黑体" w:eastAsia="黑体" w:hAnsi="黑体" w:cs="黑体"/>
        </w:rPr>
        <w:t>二是</w:t>
      </w:r>
      <w:r>
        <w:t>明确《指引》适用于依照《公司法》设立且股票在中国境内证券交易所上市交易的股份有限公司。在境内发行股票或者存托凭证并上市的境外公司参照执行。</w:t>
      </w:r>
      <w:r>
        <w:rPr>
          <w:rFonts w:ascii="黑体" w:eastAsia="黑体" w:hAnsi="黑体" w:cs="黑体"/>
        </w:rPr>
        <w:t>三是</w:t>
      </w:r>
      <w:r>
        <w:t>确立合</w:t>
      </w:r>
      <w:proofErr w:type="gramStart"/>
      <w:r>
        <w:t>规</w:t>
      </w:r>
      <w:proofErr w:type="gramEnd"/>
      <w:r>
        <w:t>性、平等性、主动性和诚实守信等四条基本原则。</w:t>
      </w:r>
    </w:p>
    <w:p w14:paraId="0B110922" w14:textId="77777777" w:rsidR="003819B4" w:rsidRDefault="00742E2C">
      <w:pPr>
        <w:numPr>
          <w:ilvl w:val="0"/>
          <w:numId w:val="1"/>
        </w:numPr>
        <w:spacing w:after="170"/>
        <w:ind w:firstLine="641"/>
      </w:pPr>
      <w:r>
        <w:rPr>
          <w:rFonts w:ascii="楷体" w:eastAsia="楷体" w:hAnsi="楷体" w:cs="楷体"/>
        </w:rPr>
        <w:t>进一步增加和丰富投资者关系管理的内容及方式，同时对近年来实践中的良好做法予以固化。</w:t>
      </w:r>
      <w:r>
        <w:rPr>
          <w:rFonts w:ascii="黑体" w:eastAsia="黑体" w:hAnsi="黑体" w:cs="黑体"/>
        </w:rPr>
        <w:t>一是</w:t>
      </w:r>
      <w:r>
        <w:t>适应互联网、新媒体等新时代发展形势，在电话、传真等投资者关系管理传统沟通渠道基</w:t>
      </w:r>
      <w:r>
        <w:t>础上，新增网站、新媒体平台、投资者教育基地等新兴渠道。</w:t>
      </w:r>
      <w:r>
        <w:rPr>
          <w:rFonts w:ascii="黑体" w:eastAsia="黑体" w:hAnsi="黑体" w:cs="黑体"/>
        </w:rPr>
        <w:t>二是</w:t>
      </w:r>
      <w:r>
        <w:t>对投资者说明会的召开情形和要求</w:t>
      </w:r>
      <w:proofErr w:type="gramStart"/>
      <w:r>
        <w:t>作出</w:t>
      </w:r>
      <w:proofErr w:type="gramEnd"/>
      <w:r>
        <w:t>专条规定，提升投资者说明会质量和效果，使其真正成为公司传递价值、投资者发现价值的桥梁。</w:t>
      </w:r>
      <w:r>
        <w:rPr>
          <w:rFonts w:ascii="黑体" w:eastAsia="黑体" w:hAnsi="黑体" w:cs="黑体"/>
        </w:rPr>
        <w:t>三是</w:t>
      </w:r>
      <w:r>
        <w:t>明确上市公司投资者关系管理工作的主要职责，并要求公司制定制度机制，提升《指引》的可操作性。</w:t>
      </w:r>
      <w:r>
        <w:rPr>
          <w:rFonts w:ascii="黑体" w:eastAsia="黑体" w:hAnsi="黑体" w:cs="黑体"/>
        </w:rPr>
        <w:t>四是</w:t>
      </w:r>
      <w:r>
        <w:t>落实新发展理念的要求，在沟通内容中增加上市公司的环境、社会和治理（</w:t>
      </w:r>
      <w:r>
        <w:rPr>
          <w:rFonts w:ascii="Times New Roman" w:eastAsia="Times New Roman" w:hAnsi="Times New Roman" w:cs="Times New Roman"/>
        </w:rPr>
        <w:t>ESG</w:t>
      </w:r>
      <w:r>
        <w:t>）信息。</w:t>
      </w:r>
      <w:r>
        <w:rPr>
          <w:rFonts w:ascii="黑体" w:eastAsia="黑体" w:hAnsi="黑体" w:cs="黑体"/>
        </w:rPr>
        <w:t>五是</w:t>
      </w:r>
      <w:r>
        <w:t>明确上市公司承担诉求处理的首要责任。</w:t>
      </w:r>
      <w:r>
        <w:rPr>
          <w:rFonts w:ascii="黑体" w:eastAsia="黑体" w:hAnsi="黑体" w:cs="黑体"/>
        </w:rPr>
        <w:lastRenderedPageBreak/>
        <w:t>六是</w:t>
      </w:r>
      <w:r>
        <w:t>明确上市公司建立健全投资者关系管理档案保管和利用机制。</w:t>
      </w:r>
    </w:p>
    <w:p w14:paraId="27981493" w14:textId="77777777" w:rsidR="003819B4" w:rsidRDefault="00742E2C">
      <w:pPr>
        <w:numPr>
          <w:ilvl w:val="0"/>
          <w:numId w:val="1"/>
        </w:numPr>
        <w:spacing w:after="0" w:line="361" w:lineRule="auto"/>
        <w:ind w:firstLine="641"/>
      </w:pPr>
      <w:r>
        <w:rPr>
          <w:rFonts w:ascii="楷体" w:eastAsia="楷体" w:hAnsi="楷体" w:cs="楷体"/>
        </w:rPr>
        <w:t>进一步明确上市公司投资者关系管理的组织和实施，同时强化对</w:t>
      </w:r>
      <w:r>
        <w:rPr>
          <w:rFonts w:ascii="楷体" w:eastAsia="楷体" w:hAnsi="楷体" w:cs="楷体"/>
        </w:rPr>
        <w:t>上市公司的约束。</w:t>
      </w:r>
      <w:r>
        <w:rPr>
          <w:rFonts w:ascii="黑体" w:eastAsia="黑体" w:hAnsi="黑体" w:cs="黑体"/>
        </w:rPr>
        <w:t>一是</w:t>
      </w:r>
      <w:r>
        <w:t>在操作层面，进一步明确上市公司投资者关系管理的制度制定、部门设置、责任主体、人员配备、培训学习等内容。</w:t>
      </w:r>
      <w:r>
        <w:rPr>
          <w:rFonts w:ascii="黑体" w:eastAsia="黑体" w:hAnsi="黑体" w:cs="黑体"/>
        </w:rPr>
        <w:t>二是</w:t>
      </w:r>
      <w:r>
        <w:t>强化上市公司</w:t>
      </w:r>
      <w:r>
        <w:t>“</w:t>
      </w:r>
      <w:r>
        <w:t>关键少数</w:t>
      </w:r>
      <w:r>
        <w:t>”</w:t>
      </w:r>
      <w:r>
        <w:t>的主体责任，除董事会秘书、</w:t>
      </w:r>
      <w:proofErr w:type="gramStart"/>
      <w:r>
        <w:t>专门人</w:t>
      </w:r>
      <w:proofErr w:type="gramEnd"/>
      <w:r>
        <w:t>员外，对上市公司控股股东、实际控制人、董事、监事、高级管理人员等也提出要求，明确他们在投资者关系管理中的禁止情形。</w:t>
      </w:r>
      <w:r>
        <w:rPr>
          <w:rFonts w:ascii="黑体" w:eastAsia="黑体" w:hAnsi="黑体" w:cs="黑体"/>
        </w:rPr>
        <w:t>三是</w:t>
      </w:r>
      <w:r>
        <w:t>倡导投资者提升股东意识，依法行权维权，形成理性成熟的投资文化。</w:t>
      </w:r>
      <w:r>
        <w:rPr>
          <w:rFonts w:ascii="黑体" w:eastAsia="黑体" w:hAnsi="黑体" w:cs="黑体"/>
        </w:rPr>
        <w:t>四是</w:t>
      </w:r>
      <w:r>
        <w:t>明确中国证监会及其派出机构依法对上市公司投资者关系管理进行监督管理。</w:t>
      </w:r>
      <w:r>
        <w:rPr>
          <w:rFonts w:ascii="黑体" w:eastAsia="黑体" w:hAnsi="黑体" w:cs="黑体"/>
        </w:rPr>
        <w:t>五是</w:t>
      </w:r>
      <w:r>
        <w:t>明确证券交易所、上市公司协会等自律组织，制定自律规则进行自律管理。</w:t>
      </w:r>
      <w:r>
        <w:rPr>
          <w:rFonts w:ascii="黑体" w:eastAsia="黑体" w:hAnsi="黑体" w:cs="黑体"/>
        </w:rPr>
        <w:t>六是</w:t>
      </w:r>
      <w:r>
        <w:t>明确</w:t>
      </w:r>
      <w:r>
        <w:t>监管部门、自律组织和投资者保护机构，可以对上市公司投资者关系管理状况进行评估评价，发布</w:t>
      </w:r>
      <w:proofErr w:type="gramStart"/>
      <w:r>
        <w:t>良好实践</w:t>
      </w:r>
      <w:proofErr w:type="gramEnd"/>
      <w:r>
        <w:t>案例和经验，促进上市公司不断提升投资者关系管理水平。</w:t>
      </w:r>
    </w:p>
    <w:sectPr w:rsidR="003819B4">
      <w:footerReference w:type="even" r:id="rId7"/>
      <w:footerReference w:type="default" r:id="rId8"/>
      <w:footerReference w:type="first" r:id="rId9"/>
      <w:pgSz w:w="11906" w:h="16838"/>
      <w:pgMar w:top="1594" w:right="1481" w:bottom="1821" w:left="1800" w:header="720"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F0B0" w14:textId="77777777" w:rsidR="00742E2C" w:rsidRDefault="00742E2C">
      <w:pPr>
        <w:spacing w:after="0" w:line="240" w:lineRule="auto"/>
      </w:pPr>
      <w:r>
        <w:separator/>
      </w:r>
    </w:p>
  </w:endnote>
  <w:endnote w:type="continuationSeparator" w:id="0">
    <w:p w14:paraId="6C7DD120" w14:textId="77777777" w:rsidR="00742E2C" w:rsidRDefault="0074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E1C6" w14:textId="77777777" w:rsidR="003819B4" w:rsidRDefault="00742E2C">
    <w:pPr>
      <w:spacing w:after="0" w:line="259" w:lineRule="auto"/>
      <w:ind w:left="0" w:right="321"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3984" w14:textId="77777777" w:rsidR="003819B4" w:rsidRDefault="00742E2C">
    <w:pPr>
      <w:spacing w:after="0" w:line="259" w:lineRule="auto"/>
      <w:ind w:left="0" w:right="321"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80A5" w14:textId="77777777" w:rsidR="003819B4" w:rsidRDefault="00742E2C">
    <w:pPr>
      <w:spacing w:after="0" w:line="259" w:lineRule="auto"/>
      <w:ind w:left="0" w:right="321"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323C7" w14:textId="77777777" w:rsidR="00742E2C" w:rsidRDefault="00742E2C">
      <w:pPr>
        <w:spacing w:after="0" w:line="240" w:lineRule="auto"/>
      </w:pPr>
      <w:r>
        <w:separator/>
      </w:r>
    </w:p>
  </w:footnote>
  <w:footnote w:type="continuationSeparator" w:id="0">
    <w:p w14:paraId="524C3C2E" w14:textId="77777777" w:rsidR="00742E2C" w:rsidRDefault="00742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F2101"/>
    <w:multiLevelType w:val="hybridMultilevel"/>
    <w:tmpl w:val="9C54D0A4"/>
    <w:lvl w:ilvl="0" w:tplc="B366E0B2">
      <w:start w:val="1"/>
      <w:numFmt w:val="ideographDigital"/>
      <w:lvlText w:val="（%1）"/>
      <w:lvlJc w:val="left"/>
      <w:pPr>
        <w:ind w:left="0"/>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1" w:tplc="C8B2E428">
      <w:start w:val="1"/>
      <w:numFmt w:val="lowerLetter"/>
      <w:lvlText w:val="%2"/>
      <w:lvlJc w:val="left"/>
      <w:pPr>
        <w:ind w:left="17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2" w:tplc="5E22A290">
      <w:start w:val="1"/>
      <w:numFmt w:val="lowerRoman"/>
      <w:lvlText w:val="%3"/>
      <w:lvlJc w:val="left"/>
      <w:pPr>
        <w:ind w:left="24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3" w:tplc="D6E0DDF2">
      <w:start w:val="1"/>
      <w:numFmt w:val="decimal"/>
      <w:lvlText w:val="%4"/>
      <w:lvlJc w:val="left"/>
      <w:pPr>
        <w:ind w:left="31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4" w:tplc="39749C16">
      <w:start w:val="1"/>
      <w:numFmt w:val="lowerLetter"/>
      <w:lvlText w:val="%5"/>
      <w:lvlJc w:val="left"/>
      <w:pPr>
        <w:ind w:left="388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5" w:tplc="A132A68C">
      <w:start w:val="1"/>
      <w:numFmt w:val="lowerRoman"/>
      <w:lvlText w:val="%6"/>
      <w:lvlJc w:val="left"/>
      <w:pPr>
        <w:ind w:left="460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6" w:tplc="B94C4DF8">
      <w:start w:val="1"/>
      <w:numFmt w:val="decimal"/>
      <w:lvlText w:val="%7"/>
      <w:lvlJc w:val="left"/>
      <w:pPr>
        <w:ind w:left="532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7" w:tplc="756E7F02">
      <w:start w:val="1"/>
      <w:numFmt w:val="lowerLetter"/>
      <w:lvlText w:val="%8"/>
      <w:lvlJc w:val="left"/>
      <w:pPr>
        <w:ind w:left="604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lvl w:ilvl="8" w:tplc="CEA8C2BE">
      <w:start w:val="1"/>
      <w:numFmt w:val="lowerRoman"/>
      <w:lvlText w:val="%9"/>
      <w:lvlJc w:val="left"/>
      <w:pPr>
        <w:ind w:left="6761"/>
      </w:pPr>
      <w:rPr>
        <w:rFonts w:ascii="仿宋" w:eastAsia="仿宋" w:hAnsi="仿宋" w:cs="仿宋"/>
        <w:b w:val="0"/>
        <w:i w:val="0"/>
        <w:strike w:val="0"/>
        <w:dstrike w:val="0"/>
        <w:color w:val="000000"/>
        <w:sz w:val="32"/>
        <w:szCs w:val="32"/>
        <w:u w:val="none" w:color="000000"/>
        <w:bdr w:val="none" w:sz="0" w:space="0" w:color="auto"/>
        <w:shd w:val="clear" w:color="auto" w:fill="auto"/>
        <w:vertAlign w:val="baseline"/>
      </w:rPr>
    </w:lvl>
  </w:abstractNum>
  <w:num w:numId="1" w16cid:durableId="508525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B4"/>
    <w:rsid w:val="003467D1"/>
    <w:rsid w:val="003819B4"/>
    <w:rsid w:val="0074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57CB9"/>
  <w15:docId w15:val="{8D545D8C-5B4B-40D9-9813-27D08E99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367" w:lineRule="auto"/>
      <w:ind w:left="10" w:hanging="10"/>
    </w:pPr>
    <w:rPr>
      <w:rFonts w:ascii="仿宋" w:eastAsia="仿宋" w:hAnsi="仿宋" w:cs="仿宋"/>
      <w:color w:val="000000"/>
      <w:sz w:val="32"/>
    </w:rPr>
  </w:style>
  <w:style w:type="paragraph" w:styleId="1">
    <w:name w:val="heading 1"/>
    <w:next w:val="a"/>
    <w:link w:val="10"/>
    <w:uiPriority w:val="9"/>
    <w:qFormat/>
    <w:pPr>
      <w:keepNext/>
      <w:keepLines/>
      <w:spacing w:after="176" w:line="259" w:lineRule="auto"/>
      <w:ind w:left="651" w:hanging="10"/>
      <w:outlineLvl w:val="0"/>
    </w:pPr>
    <w:rPr>
      <w:rFonts w:ascii="黑体" w:eastAsia="黑体" w:hAnsi="黑体" w:cs="黑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黑体" w:eastAsia="黑体" w:hAnsi="黑体" w:cs="黑体"/>
      <w:color w:val="000000"/>
      <w:sz w:val="32"/>
    </w:rPr>
  </w:style>
  <w:style w:type="paragraph" w:styleId="a3">
    <w:name w:val="header"/>
    <w:basedOn w:val="a"/>
    <w:link w:val="a4"/>
    <w:uiPriority w:val="99"/>
    <w:unhideWhenUsed/>
    <w:rsid w:val="003467D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467D1"/>
    <w:rPr>
      <w:rFonts w:ascii="仿宋" w:eastAsia="仿宋" w:hAnsi="仿宋" w:cs="仿宋"/>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dc:creator>
  <cp:keywords/>
  <cp:lastModifiedBy>A2949</cp:lastModifiedBy>
  <cp:revision>2</cp:revision>
  <dcterms:created xsi:type="dcterms:W3CDTF">2022-04-16T11:48:00Z</dcterms:created>
  <dcterms:modified xsi:type="dcterms:W3CDTF">2022-04-16T11:48:00Z</dcterms:modified>
</cp:coreProperties>
</file>