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关于进一步便利出口退税办理 促进外贸平稳发展有关事项的公告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为深入贯彻党中央、国务院决策部署，积极落实《税务总局等十部门关于进一步加大出口退税支持力度促进外贸平稳发展的通知》（</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"http://ssfb86.com/index/News/detail/newsid/10396.html"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税总货劳发〔2022〕36号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），进一步助力企业纾解困难，激发出口企业活力潜力，更优打造外贸营商环境，更好促进外贸平稳发展，现就有关事项公告如下：</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一、完善出口退（免）税企业分类管理</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"http://ssfb86.com/index/News/detail/newsid/7563.html" </w:instrText>
      </w:r>
      <w:r>
        <w:rPr>
          <w:rFonts w:hint="eastAsia" w:ascii="宋体" w:hAnsi="宋体" w:eastAsia="宋体" w:cs="宋体"/>
          <w:b w:val="0"/>
          <w:bCs/>
          <w:color w:val="auto"/>
          <w:sz w:val="24"/>
          <w:szCs w:val="24"/>
          <w:u w:val="none"/>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color w:val="auto"/>
          <w:sz w:val="24"/>
          <w:szCs w:val="24"/>
          <w:u w:val="none"/>
          <w:lang w:val="en-US" w:eastAsia="zh-CN"/>
        </w:rPr>
        <w:fldChar w:fldCharType="end"/>
      </w:r>
      <w:r>
        <w:rPr>
          <w:rFonts w:hint="eastAsia" w:ascii="宋体" w:hAnsi="宋体" w:eastAsia="宋体" w:cs="宋体"/>
          <w:b w:val="0"/>
          <w:bCs/>
          <w:sz w:val="24"/>
          <w:szCs w:val="24"/>
          <w:lang w:val="en-US" w:eastAsia="zh-CN"/>
        </w:rPr>
        <w:t>】</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（一）【管理类别评定时限】</w:t>
      </w:r>
      <w:r>
        <w:rPr>
          <w:rFonts w:hint="eastAsia" w:ascii="宋体" w:hAnsi="宋体" w:eastAsia="宋体" w:cs="宋体"/>
          <w:b/>
          <w:sz w:val="24"/>
          <w:szCs w:val="24"/>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出口企业管理类别年度评定工作应于企业纳税信用级别评价结果确定后1个月内完成。</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（二）【纳税信用修复，重新评定，不受限制】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纳税人发生纳税信用修复情形的,可以书面向税务机关提出重新评定管理类别。因纳税信用修复原因重新评定的纳税人，不受《出口退（免）税企业分类管理办法》（</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"http://ssfb86.com/index/News/detail/newsid/704.html"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国家税务总局公告2016年第46号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发布，2018年第31号修改）第十四条中“四类出口企业自评定之日起，12个月内不得评定为其他管理类别”规定限制。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二、优化出口退（免）税备案单证管理</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"http://ssfb86.com/index/News/detail/newsid/7558.html" </w:instrText>
      </w:r>
      <w:r>
        <w:rPr>
          <w:rFonts w:hint="eastAsia" w:ascii="宋体" w:hAnsi="宋体" w:eastAsia="宋体" w:cs="宋体"/>
          <w:b w:val="0"/>
          <w:bCs/>
          <w:sz w:val="24"/>
          <w:szCs w:val="24"/>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（一）【备案单证种类，收集时限】</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纳税人应在申报出口退（免）税后15日内，将下列备案单证</w:t>
      </w:r>
      <w:r>
        <w:rPr>
          <w:rFonts w:hint="eastAsia" w:ascii="宋体" w:hAnsi="宋体" w:eastAsia="宋体" w:cs="宋体"/>
          <w:b/>
          <w:bCs/>
          <w:color w:val="333333"/>
          <w:sz w:val="24"/>
          <w:szCs w:val="24"/>
        </w:rPr>
        <w:t>妥善留存</w:t>
      </w:r>
      <w:r>
        <w:rPr>
          <w:rFonts w:hint="eastAsia" w:ascii="宋体" w:hAnsi="宋体" w:eastAsia="宋体" w:cs="宋体"/>
          <w:color w:val="333333"/>
          <w:sz w:val="24"/>
          <w:szCs w:val="24"/>
        </w:rPr>
        <w:t>，并按照申报退（免）税的时间顺序，制作出口退（免）税备案单证目录，注明单证存放方式，以备税务机关核查。</w:t>
      </w:r>
    </w:p>
    <w:p>
      <w:pPr>
        <w:pStyle w:val="5"/>
        <w:keepNext w:val="0"/>
        <w:keepLines w:val="0"/>
        <w:widowControl/>
        <w:suppressLineNumbers w:val="0"/>
        <w:spacing w:before="0" w:beforeAutospacing="0" w:after="0" w:afterAutospacing="0" w:line="540" w:lineRule="atLeast"/>
        <w:ind w:left="0" w:right="0" w:firstLine="420"/>
        <w:jc w:val="both"/>
        <w:rPr>
          <w:rFonts w:hint="eastAsia" w:ascii="宋体" w:hAnsi="宋体" w:eastAsia="宋体" w:cs="宋体"/>
          <w:color w:val="333333"/>
          <w:sz w:val="24"/>
          <w:szCs w:val="24"/>
        </w:rPr>
      </w:pPr>
      <w:r>
        <w:rPr>
          <w:rFonts w:hint="eastAsia" w:ascii="楷体" w:hAnsi="楷体" w:eastAsia="楷体" w:cs="楷体"/>
          <w:color w:val="0000FF"/>
          <w:sz w:val="24"/>
          <w:szCs w:val="24"/>
          <w:lang w:eastAsia="zh-CN"/>
        </w:rPr>
        <w:t>【笔记：本规定，有哪些变化？——单证，</w:t>
      </w:r>
      <w:r>
        <w:rPr>
          <w:rFonts w:hint="eastAsia" w:ascii="楷体" w:hAnsi="楷体" w:eastAsia="楷体" w:cs="楷体"/>
          <w:b/>
          <w:bCs/>
          <w:color w:val="0000FF"/>
          <w:sz w:val="24"/>
          <w:szCs w:val="24"/>
          <w:lang w:eastAsia="zh-CN"/>
        </w:rPr>
        <w:t>由备案制——改为留存备查制</w:t>
      </w:r>
      <w:r>
        <w:rPr>
          <w:rFonts w:hint="eastAsia" w:ascii="楷体" w:hAnsi="楷体" w:eastAsia="楷体" w:cs="楷体"/>
          <w:color w:val="0000FF"/>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1.【购销合同】</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出口企业的购销合同（包括：出口合同、外贸综合服务合同、外贸企业购货合同、生产企业收购非自产货物出口的购货合同等）；</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2.【运输单据】</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出口货物的运输单据（包括：海运提单、航空运单、铁路运单、货物承运单据、邮政收据等承运人出具的货物单据，出口企业承付运费的国内运输发票，出口企业承付费用的国际货物运输代理服务费发票等）；</w:t>
      </w:r>
    </w:p>
    <w:p>
      <w:pPr>
        <w:pStyle w:val="5"/>
        <w:keepNext w:val="0"/>
        <w:keepLines w:val="0"/>
        <w:widowControl/>
        <w:suppressLineNumbers w:val="0"/>
        <w:spacing w:before="0" w:beforeAutospacing="0" w:after="0" w:afterAutospacing="0" w:line="540" w:lineRule="atLeast"/>
        <w:ind w:left="0" w:right="0" w:firstLine="420"/>
        <w:jc w:val="both"/>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【笔记：本项规定，有哪些变化？——</w:t>
      </w: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第二条第二项第一款：根据海关等部门管理要求的变化实际，</w:t>
      </w:r>
      <w:r>
        <w:rPr>
          <w:rFonts w:hint="eastAsia" w:ascii="楷体" w:hAnsi="楷体" w:eastAsia="楷体" w:cs="楷体"/>
          <w:b/>
          <w:bCs/>
          <w:color w:val="0000FF"/>
          <w:sz w:val="24"/>
          <w:szCs w:val="24"/>
          <w:lang w:eastAsia="zh-CN"/>
        </w:rPr>
        <w:t>不再要求企业将出口货物装货单作为备案单证管理</w:t>
      </w:r>
      <w:r>
        <w:rPr>
          <w:rFonts w:hint="eastAsia" w:ascii="楷体" w:hAnsi="楷体" w:eastAsia="楷体" w:cs="楷体"/>
          <w:color w:val="0000FF"/>
          <w:sz w:val="24"/>
          <w:szCs w:val="24"/>
          <w:lang w:eastAsia="zh-CN"/>
        </w:rPr>
        <w:t>】</w:t>
      </w:r>
    </w:p>
    <w:p>
      <w:pPr>
        <w:pStyle w:val="5"/>
        <w:keepNext w:val="0"/>
        <w:keepLines w:val="0"/>
        <w:widowControl/>
        <w:suppressLineNumbers w:val="0"/>
        <w:spacing w:before="0" w:beforeAutospacing="0" w:after="0" w:afterAutospacing="0" w:line="540" w:lineRule="atLeast"/>
        <w:ind w:left="0" w:right="0" w:firstLine="420"/>
        <w:jc w:val="both"/>
        <w:rPr>
          <w:rFonts w:hint="eastAsia" w:ascii="楷体" w:hAnsi="楷体" w:eastAsia="楷体" w:cs="楷体"/>
          <w:color w:val="0000FF"/>
          <w:sz w:val="24"/>
          <w:szCs w:val="24"/>
          <w:lang w:eastAsia="zh-CN"/>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3.【委托报关单据】</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出口企业委托其他单位报关的单据（包括：委托报关协议、受托报关单位为其开具的代理报关服务费发票等）。</w:t>
      </w:r>
    </w:p>
    <w:p>
      <w:pPr>
        <w:pStyle w:val="5"/>
        <w:keepNext w:val="0"/>
        <w:keepLines w:val="0"/>
        <w:widowControl/>
        <w:suppressLineNumbers w:val="0"/>
        <w:spacing w:before="0" w:beforeAutospacing="0" w:after="0" w:afterAutospacing="0" w:line="540" w:lineRule="atLeast"/>
        <w:ind w:left="0" w:right="0" w:firstLine="420"/>
        <w:jc w:val="both"/>
        <w:rPr>
          <w:rFonts w:hint="eastAsia" w:ascii="宋体" w:hAnsi="宋体" w:eastAsia="宋体" w:cs="宋体"/>
          <w:color w:val="333333"/>
          <w:sz w:val="24"/>
          <w:szCs w:val="24"/>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第二条第二项第一款：为引导企业强化风险意识，提高内控质效，将企业委托报关出口货物必备的委托报关协议、发票等单据，作为备案单证管理。】</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附注1：【替代资料，保存期限】</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纳税人无法取得上述单证的，</w:t>
      </w:r>
      <w:r>
        <w:rPr>
          <w:rFonts w:hint="eastAsia" w:ascii="宋体" w:hAnsi="宋体" w:eastAsia="宋体" w:cs="宋体"/>
          <w:color w:val="C55A11" w:themeColor="accent2" w:themeShade="BF"/>
          <w:sz w:val="24"/>
          <w:szCs w:val="24"/>
        </w:rPr>
        <w:t>可用具有相似内容或作用的其他资料进行单证备案</w:t>
      </w:r>
      <w:r>
        <w:rPr>
          <w:rFonts w:hint="eastAsia" w:ascii="宋体" w:hAnsi="宋体" w:eastAsia="宋体" w:cs="宋体"/>
          <w:color w:val="333333"/>
          <w:sz w:val="24"/>
          <w:szCs w:val="24"/>
        </w:rPr>
        <w:t>。除另有规定外，备案单证由出口企业存放和保管，不得擅自损毁，保存期为5年。</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附注2：【跨境应税应为，不实行备案证管理】</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纳税人发生零税率跨境应税行为不实行备案单证管理。</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（二）【单证留存方式】</w:t>
      </w:r>
      <w:r>
        <w:rPr>
          <w:rFonts w:hint="eastAsia" w:ascii="宋体" w:hAnsi="宋体" w:eastAsia="宋体" w:cs="宋体"/>
          <w:b/>
          <w:sz w:val="24"/>
          <w:szCs w:val="24"/>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纳税人可以自行选择</w:t>
      </w:r>
      <w:r>
        <w:rPr>
          <w:rFonts w:hint="eastAsia" w:ascii="宋体" w:hAnsi="宋体" w:eastAsia="宋体" w:cs="宋体"/>
          <w:color w:val="C55A11" w:themeColor="accent2" w:themeShade="BF"/>
          <w:sz w:val="24"/>
          <w:szCs w:val="24"/>
        </w:rPr>
        <w:t>纸质化、影像化或者数字化</w:t>
      </w:r>
      <w:r>
        <w:rPr>
          <w:rFonts w:hint="eastAsia" w:ascii="宋体" w:hAnsi="宋体" w:eastAsia="宋体" w:cs="宋体"/>
          <w:color w:val="333333"/>
          <w:sz w:val="24"/>
          <w:szCs w:val="24"/>
        </w:rPr>
        <w:t>方式，留存保管上述备案单证。选择纸质化方式的，还需在出口退（免）税备案单证目录中注明备案单证的存放地点。</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（三）【税务查验】</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税务机关按规定查验备案单证时，纳税人按要求将影像化或者数字化备案单证转换为纸质化备案单证以供查验的，应在纸质化单证上加盖企业印章并签字声明与原数据一致。</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三、完善加工贸易出口退税政策</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"http://ssfb86.com/index/News/detail/newsid/7438.html" </w:instrText>
      </w:r>
      <w:r>
        <w:rPr>
          <w:rFonts w:hint="eastAsia" w:ascii="宋体" w:hAnsi="宋体" w:eastAsia="宋体" w:cs="宋体"/>
          <w:b w:val="0"/>
          <w:bCs/>
          <w:color w:val="auto"/>
          <w:sz w:val="24"/>
          <w:szCs w:val="24"/>
          <w:u w:val="none"/>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color w:val="auto"/>
          <w:sz w:val="24"/>
          <w:szCs w:val="24"/>
          <w:u w:val="none"/>
          <w:lang w:val="en-US" w:eastAsia="zh-CN"/>
        </w:rPr>
        <w:fldChar w:fldCharType="end"/>
      </w:r>
      <w:r>
        <w:rPr>
          <w:rFonts w:hint="eastAsia" w:ascii="宋体" w:hAnsi="宋体" w:eastAsia="宋体" w:cs="宋体"/>
          <w:b w:val="0"/>
          <w:bCs/>
          <w:sz w:val="24"/>
          <w:szCs w:val="24"/>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实行免抵退税办法的进料加工出口企业，在国家实行出口产品征退税率一致政策后，因前期征退税率不一致等原因，结转未能抵减的免抵退税“不得免征和抵扣税额抵减额”，企业进行核对确认后，可调转为相应数额的增值税进项税额。</w:t>
      </w:r>
    </w:p>
    <w:p>
      <w:pPr>
        <w:pStyle w:val="5"/>
        <w:keepNext w:val="0"/>
        <w:keepLines w:val="0"/>
        <w:widowControl/>
        <w:suppressLineNumbers w:val="0"/>
        <w:spacing w:before="0" w:beforeAutospacing="0" w:after="0" w:afterAutospacing="0" w:line="540" w:lineRule="atLeast"/>
        <w:ind w:left="0" w:right="0" w:firstLine="420"/>
        <w:jc w:val="both"/>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三项：按照现行出口退税政策规定，在免抵退税计算时，出口货物征退税率之差形成的“不得免征和抵扣税额”，企业应将其从增值税进项税额中扣减。对从事进料加工出口业务的企业，其计算依据为出口金额扣除出口产品耗用保税进口料件后的余额。具体执行中，企业应先按照计划分配率（即计划进口总值在计划出口总值中的占比）计算不得免征和抵扣税额，并在手册和账册结案后，按实际分配率进行核销。因实际分配率与计划分配率之间的差异，核销产生的多计算的“不得免征和抵扣税额”，即少计算的“不得免征和抵扣税额抵减额”，允许企业与此后产生的“不得免征和抵扣税额”进行抵减。</w:t>
      </w:r>
    </w:p>
    <w:p>
      <w:pPr>
        <w:pStyle w:val="5"/>
        <w:keepNext w:val="0"/>
        <w:keepLines w:val="0"/>
        <w:widowControl/>
        <w:suppressLineNumbers w:val="0"/>
        <w:spacing w:before="0" w:beforeAutospacing="0" w:after="0" w:afterAutospacing="0" w:line="540" w:lineRule="atLeast"/>
        <w:ind w:left="0" w:right="0" w:firstLine="420"/>
        <w:jc w:val="both"/>
        <w:rPr>
          <w:rFonts w:hint="eastAsia" w:ascii="宋体" w:hAnsi="宋体" w:eastAsia="宋体" w:cs="宋体"/>
          <w:color w:val="333333"/>
          <w:sz w:val="24"/>
          <w:szCs w:val="24"/>
        </w:rPr>
      </w:pPr>
      <w:r>
        <w:rPr>
          <w:rFonts w:hint="eastAsia" w:ascii="楷体" w:hAnsi="楷体" w:eastAsia="楷体" w:cs="楷体"/>
          <w:color w:val="0000FF"/>
          <w:sz w:val="24"/>
          <w:szCs w:val="24"/>
          <w:lang w:eastAsia="zh-CN"/>
        </w:rPr>
        <w:t>目前，除“两高一资”产品外，国家对出口产品实行征退税率一致的政策。因此，免抵退税计算时，将不再产生新的“不得免征和抵扣税额”，前期少计算的“不得免征和抵扣税额抵减额”结转，无法参与后续计算。根据国务院部署，《通知》中明确“对出口产品征退税率一致后，因征退税率不一致等原因而多转出的增值税进项税额，允许企业转入进项税额予以抵扣”。】</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【思考：上述</w:t>
      </w:r>
      <w:r>
        <w:rPr>
          <w:rFonts w:hint="eastAsia" w:ascii="楷体" w:hAnsi="楷体" w:eastAsia="楷体" w:cs="楷体"/>
          <w:color w:val="C55A11" w:themeColor="accent2" w:themeShade="BF"/>
          <w:sz w:val="24"/>
          <w:szCs w:val="24"/>
          <w:lang w:eastAsia="zh-CN"/>
        </w:rPr>
        <w:t>，在增值税纳税申报表附表二的哪一栏目填列</w:t>
      </w:r>
      <w:r>
        <w:rPr>
          <w:rFonts w:hint="eastAsia" w:ascii="楷体" w:hAnsi="楷体" w:eastAsia="楷体" w:cs="楷体"/>
          <w:color w:val="0070C0"/>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四、精简出口退（免）税报送资料</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"http://ssfb86.com/index/News/detail/newsid/7593.html" </w:instrText>
      </w:r>
      <w:r>
        <w:rPr>
          <w:rFonts w:hint="eastAsia" w:ascii="宋体" w:hAnsi="宋体" w:eastAsia="宋体" w:cs="宋体"/>
          <w:b w:val="0"/>
          <w:bCs/>
          <w:color w:val="auto"/>
          <w:sz w:val="24"/>
          <w:szCs w:val="24"/>
          <w:u w:val="none"/>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color w:val="auto"/>
          <w:sz w:val="24"/>
          <w:szCs w:val="24"/>
          <w:u w:val="none"/>
          <w:lang w:val="en-US" w:eastAsia="zh-CN"/>
        </w:rPr>
        <w:fldChar w:fldCharType="end"/>
      </w:r>
      <w:r>
        <w:rPr>
          <w:rFonts w:hint="eastAsia" w:ascii="宋体" w:hAnsi="宋体" w:eastAsia="宋体" w:cs="宋体"/>
          <w:b w:val="0"/>
          <w:bCs/>
          <w:sz w:val="24"/>
          <w:szCs w:val="24"/>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（一）纳税人办理委托出口货物退（免）税申报时，停止报送代理出口协议副本、复印件。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（二）纳税人办理融资租赁货物出口退（免）税备案和申报时，停止报送融资租赁合同原件，改为报送融资租赁合同复印件（复印件上应注明“与原件一致”并加盖企业印章)。</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（三）纳税人办理来料加工委托加工出口货物的免税核销手续时，停止报送加工企业开具的加工费普通发票原件及复印件。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（四）纳税人申请开具《代理出口货物证明》时，停止报送代理出口协议原件。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（五）纳税人申请开具《代理进口货物证明》时，停止报送加工贸易手册原件、代理进口协议原件。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（六）纳税人申请开具《来料加工免税证明》时，停止报送加工费普通发票原件、进口货物报关单原件。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（七）纳税人申请开具《出口货物转内销证明》时，停止报送《出口货物已补税/未退税证明》原件及复印件。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对于本条所述停止报送的资料原件，纳税人应当妥善留存备查。</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五、拓展出口退（免）税提醒服务</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"http://ssfb86.com/index/News/detail/newsid/10493.html" </w:instrText>
      </w:r>
      <w:r>
        <w:rPr>
          <w:rFonts w:hint="eastAsia" w:ascii="宋体" w:hAnsi="宋体" w:eastAsia="宋体" w:cs="宋体"/>
          <w:b w:val="0"/>
          <w:bCs/>
          <w:color w:val="auto"/>
          <w:sz w:val="24"/>
          <w:szCs w:val="24"/>
          <w:u w:val="none"/>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color w:val="auto"/>
          <w:sz w:val="24"/>
          <w:szCs w:val="24"/>
          <w:u w:val="none"/>
          <w:lang w:val="en-US" w:eastAsia="zh-CN"/>
        </w:rPr>
        <w:fldChar w:fldCharType="end"/>
      </w:r>
      <w:r>
        <w:rPr>
          <w:rFonts w:hint="eastAsia" w:ascii="宋体" w:hAnsi="宋体" w:eastAsia="宋体" w:cs="宋体"/>
          <w:b w:val="0"/>
          <w:bCs/>
          <w:sz w:val="24"/>
          <w:szCs w:val="24"/>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便于纳税人及时了解出口退（免）税政策及管理要求的更新情况、出口退（免）税业务申报办理进度，税务机关为纳税人免费提供出口退（免）税政策更新、出口退税率文库升级、尚有未用于退（免）税申报的出口货物报关单、已办结出口退（免）税等提醒服务。纳税人可自行选择订阅提醒服务内容。</w:t>
      </w:r>
    </w:p>
    <w:p>
      <w:pPr>
        <w:pStyle w:val="5"/>
        <w:keepNext w:val="0"/>
        <w:keepLines w:val="0"/>
        <w:widowControl/>
        <w:suppressLineNumbers w:val="0"/>
        <w:spacing w:before="0" w:beforeAutospacing="0" w:after="0" w:afterAutospacing="0" w:line="540" w:lineRule="atLeast"/>
        <w:ind w:left="0" w:right="0" w:firstLine="420"/>
        <w:jc w:val="both"/>
        <w:rPr>
          <w:rFonts w:hint="eastAsia" w:ascii="宋体" w:hAnsi="宋体" w:eastAsia="宋体" w:cs="宋体"/>
          <w:color w:val="333333"/>
          <w:sz w:val="24"/>
          <w:szCs w:val="24"/>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六项：需要说明的是，由于提醒服务内容仅是帮助企业了解出口退（免）税有关情况的参考信息，不作为出口退（免）税的办理依据，因此，企业在关注提醒服务内容的同时，应根据自身实际情况，按照现行规定申报办理出口退（免）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六、简化出口退（免）税办理流程</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"http://ssfb86.com/index/News/detail/newsid/10493.html" </w:instrText>
      </w:r>
      <w:r>
        <w:rPr>
          <w:rFonts w:hint="eastAsia" w:ascii="宋体" w:hAnsi="宋体" w:eastAsia="宋体" w:cs="宋体"/>
          <w:b w:val="0"/>
          <w:bCs/>
          <w:color w:val="auto"/>
          <w:sz w:val="24"/>
          <w:szCs w:val="24"/>
          <w:u w:val="none"/>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color w:val="auto"/>
          <w:sz w:val="24"/>
          <w:szCs w:val="24"/>
          <w:u w:val="none"/>
          <w:lang w:val="en-US" w:eastAsia="zh-CN"/>
        </w:rPr>
        <w:fldChar w:fldCharType="end"/>
      </w:r>
      <w:r>
        <w:rPr>
          <w:rFonts w:hint="eastAsia" w:ascii="宋体" w:hAnsi="宋体" w:eastAsia="宋体" w:cs="宋体"/>
          <w:b w:val="0"/>
          <w:bCs/>
          <w:sz w:val="24"/>
          <w:szCs w:val="24"/>
          <w:lang w:val="en-US" w:eastAsia="zh-CN"/>
        </w:rPr>
        <w:t>】</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（一）简化外贸综合服务企业代办退税备案流程</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外贸综合服务企业在生产企业办理委托代办退税备案后，留存以下资料，即可为该生产企业申报代办退税，无需报送《代办退税情况备案表》（</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"http://ssfb86.com/index/News/detail/newsid/479.html"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国家税务总局公告2017年第35号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发布）和企业代办退税风险管控制度：</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1.与生产企业签订的外贸综合服务合同（协议）；</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2.每户委托代办退税生产企业的《代办退税情况备案表》；</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3.外贸综合服务企业代办退税风险管控制度、内部风险管控信息系统建设及应用情况。</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生产企业办理委托代办退税备案变更后，外贸综合服务企业将变更后的《代办退税情况备案表》留存备查即可，无需重新报送该表。</w:t>
      </w:r>
    </w:p>
    <w:p>
      <w:pPr>
        <w:pStyle w:val="5"/>
        <w:keepNext w:val="0"/>
        <w:keepLines w:val="0"/>
        <w:widowControl/>
        <w:suppressLineNumbers w:val="0"/>
        <w:spacing w:before="0" w:beforeAutospacing="0" w:after="0" w:afterAutospacing="0" w:line="540" w:lineRule="atLeast"/>
        <w:ind w:left="0" w:right="0" w:firstLine="420"/>
        <w:jc w:val="both"/>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【笔记：本项规定，有哪些变化？</w:t>
      </w:r>
    </w:p>
    <w:p>
      <w:pPr>
        <w:pStyle w:val="5"/>
        <w:keepNext w:val="0"/>
        <w:keepLines w:val="0"/>
        <w:widowControl/>
        <w:suppressLineNumbers w:val="0"/>
        <w:spacing w:before="0" w:beforeAutospacing="0" w:after="0" w:afterAutospacing="0" w:line="540" w:lineRule="atLeast"/>
        <w:ind w:left="0" w:right="0" w:firstLine="420"/>
        <w:jc w:val="both"/>
        <w:rPr>
          <w:rFonts w:hint="eastAsia" w:ascii="宋体" w:hAnsi="宋体" w:eastAsia="宋体" w:cs="宋体"/>
          <w:color w:val="333333"/>
          <w:sz w:val="24"/>
          <w:szCs w:val="24"/>
        </w:rPr>
      </w:pP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第二条第七项：外贸综合服务企业——在生产企业完成委托代办退税备案后，即可为该生产企业申报代办退税——无需先行办理代办退税备案——相关资料，改为企业留存备查。】</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（二）推行出口退（免）税实地核查“容缺办理”</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对于纳税人按照现行规定需实地核查通过方可办理的首次申报的出口退（免）税以及变更退（免）税办法后首次申报的出口退（免）税，税务机关经审核未发现涉嫌骗税等疑点或者已排除涉嫌骗税等疑点的，应按照“容缺办理”的原则办理退（免）税：在该纳税人累计申报的应退（免）税额未超过限额前，可先行按规定审核办理退（免）税再进行实地核查；在该纳税人累计申报的应退（免）税额超过限额后，超过限额的部分需待实地核查通过后再行办理退（免）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需经实地核查通过方可审核办理的首次申报的出口退（免）税包括：外贸企业首次申报出口退税（含外贸综合服务企业首次申报自营出口业务退税），生产企业首次申报出口退（免）税（含生产企业首次委托外贸综合服务企业申报代办退税），外贸综合服务企业首次申报代办退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上述按照“容缺办理”的原则办理退（免）税，包括纳税人出口货物、视同出口货物、对外提供加工修理修配劳务、发生零税率跨境应税行为涉及的出口退（免）税。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上述累计申报应退（免）税额的限额标准为：外贸企业（含外贸综合服务企业自营出口业务）100万元；生产企业（含生产企业委托代办退税业务）200万元；代办退税的外贸综合服务企业100万元。</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税务机关经实地核查发现纳税人已办理退（免）税的业务属于按规定不予办理退（免）税情形的，应追回已退（免）税款。因纳税人拒不配合而无法开展实地核查的，税务机关应按照实地核查不通过处理相关业务，并追回已退（免）税款，对于该纳税人申报的退（免）税业务，不适用“容缺办理”原则。</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纳税人申请变更退（免）税方法、变更出口退（免）税主管税务机关、撤回出口退（免）税备案时，存在已“容缺办理”但尚未实地核查的退（免）税业务的，税务机关应当先行开展实地核查。经实地核查通过的，按规定办理相关变更、撤回事项；经实地核查发现属于按规定不予办理退（免）税情形的，应追回已退（免）税款后，再行办理相关变更、撤回事项。</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七、简便出口退（免）税办理方式</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"http://ssfb86.com/index/News/detail/newsid/10493.html" </w:instrText>
      </w:r>
      <w:r>
        <w:rPr>
          <w:rFonts w:hint="eastAsia" w:ascii="宋体" w:hAnsi="宋体" w:eastAsia="宋体" w:cs="宋体"/>
          <w:b w:val="0"/>
          <w:bCs/>
          <w:color w:val="auto"/>
          <w:sz w:val="24"/>
          <w:szCs w:val="24"/>
          <w:u w:val="none"/>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color w:val="auto"/>
          <w:sz w:val="24"/>
          <w:szCs w:val="24"/>
          <w:u w:val="none"/>
          <w:lang w:val="en-US" w:eastAsia="zh-CN"/>
        </w:rPr>
        <w:fldChar w:fldCharType="end"/>
      </w:r>
      <w:r>
        <w:rPr>
          <w:rFonts w:hint="eastAsia" w:ascii="宋体" w:hAnsi="宋体" w:eastAsia="宋体" w:cs="宋体"/>
          <w:b w:val="0"/>
          <w:bCs/>
          <w:sz w:val="24"/>
          <w:szCs w:val="24"/>
          <w:lang w:val="en-US" w:eastAsia="zh-CN"/>
        </w:rPr>
        <w:t>】</w:t>
      </w:r>
      <w:bookmarkStart w:id="0" w:name="_GoBack"/>
      <w:bookmarkEnd w:id="0"/>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（一）推广出口退（免）税证明电子化开具和使用</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代理出口货物证明》《代理进口货物证明》《委托出口货物证明》《出口货物转内销证明》《中标证明通知书》《来料加工免税证明》的，税务机关为其开具电子证明，并通过电子税务局、国际贸易“单一窗口”等网上渠道（以下简称网上渠道）向纳税人反馈。纳税人申报办理出口退（免）税相关涉税事项时，仅</w:t>
      </w:r>
      <w:r>
        <w:rPr>
          <w:rFonts w:hint="eastAsia" w:ascii="宋体" w:hAnsi="宋体" w:eastAsia="宋体" w:cs="宋体"/>
          <w:color w:val="C55A11" w:themeColor="accent2" w:themeShade="BF"/>
          <w:sz w:val="24"/>
          <w:szCs w:val="24"/>
        </w:rPr>
        <w:t>需填报上述电子证明编号等信息，无需另行报送证明的纸质件和电子件</w:t>
      </w:r>
      <w:r>
        <w:rPr>
          <w:rFonts w:hint="eastAsia" w:ascii="宋体" w:hAnsi="宋体" w:eastAsia="宋体" w:cs="宋体"/>
          <w:color w:val="333333"/>
          <w:sz w:val="24"/>
          <w:szCs w:val="24"/>
        </w:rPr>
        <w:t>。其中，纳税人申请开具《中标证明通知书》时，无需再报送中标企业所在地主管税务机关的名称、地址、邮政编码。</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w:t>
      </w:r>
      <w:r>
        <w:rPr>
          <w:rFonts w:hint="eastAsia" w:ascii="宋体" w:hAnsi="宋体" w:eastAsia="宋体" w:cs="宋体"/>
          <w:color w:val="C55A11" w:themeColor="accent2" w:themeShade="BF"/>
          <w:sz w:val="24"/>
          <w:szCs w:val="24"/>
        </w:rPr>
        <w:t>需要作废上述出口退（免）税电子证明的，应先行确认证明使用情况，</w:t>
      </w:r>
      <w:r>
        <w:rPr>
          <w:rFonts w:hint="eastAsia" w:ascii="宋体" w:hAnsi="宋体" w:eastAsia="宋体" w:cs="宋体"/>
          <w:b/>
          <w:bCs/>
          <w:color w:val="C55A11" w:themeColor="accent2" w:themeShade="BF"/>
          <w:sz w:val="24"/>
          <w:szCs w:val="24"/>
        </w:rPr>
        <w:t>已用于申报出口退（免）税相关事项的，不得作废证明</w:t>
      </w:r>
      <w:r>
        <w:rPr>
          <w:rFonts w:hint="eastAsia" w:ascii="宋体" w:hAnsi="宋体" w:eastAsia="宋体" w:cs="宋体"/>
          <w:color w:val="333333"/>
          <w:sz w:val="24"/>
          <w:szCs w:val="24"/>
        </w:rPr>
        <w:t>；未用于申报出口退（免）税相关事项的，应向税务机关提出作废证明申请，税务机关核对无误后，予以作废。</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（二）推广出口退（免）税事项“非接触”办理</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纳税人申请办理出口退（免）税备案、证明开具及退（免）税申报等事项时，按照现行规定需要现场报送的纸质表单资料，可选择</w:t>
      </w:r>
      <w:r>
        <w:rPr>
          <w:rFonts w:hint="eastAsia" w:ascii="宋体" w:hAnsi="宋体" w:eastAsia="宋体" w:cs="宋体"/>
          <w:color w:val="C55A11" w:themeColor="accent2" w:themeShade="BF"/>
          <w:sz w:val="24"/>
          <w:szCs w:val="24"/>
        </w:rPr>
        <w:t>通过网上渠道,以影像化或者数字化方式提交</w:t>
      </w:r>
      <w:r>
        <w:rPr>
          <w:rFonts w:hint="eastAsia" w:ascii="宋体" w:hAnsi="宋体" w:eastAsia="宋体" w:cs="宋体"/>
          <w:color w:val="333333"/>
          <w:sz w:val="24"/>
          <w:szCs w:val="24"/>
        </w:rPr>
        <w:t>。纳税人通过网上渠道提交相关电子数据、影像化或者数字化表单资料后，即可完成相关出口退（免）税事项的申请。原需报送的纸质表单资料，以及通过网上渠道提交的影像化或者数字化表单资料，纳税人应妥善留存备查。</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税务机关受理上述申请后，按照现行规定为纳税人办理相关事项，并</w:t>
      </w:r>
      <w:r>
        <w:rPr>
          <w:rFonts w:hint="eastAsia" w:ascii="宋体" w:hAnsi="宋体" w:eastAsia="宋体" w:cs="宋体"/>
          <w:color w:val="C55A11" w:themeColor="accent2" w:themeShade="BF"/>
          <w:sz w:val="24"/>
          <w:szCs w:val="24"/>
        </w:rPr>
        <w:t>通过网上渠道反馈办理结果。纳税人确需税务机关出具纸质文书的，税务机关应当为纳税人出具</w:t>
      </w:r>
      <w:r>
        <w:rPr>
          <w:rFonts w:hint="eastAsia" w:ascii="宋体" w:hAnsi="宋体" w:eastAsia="宋体" w:cs="宋体"/>
          <w:color w:val="333333"/>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rPr>
        <w:t>八、完善出口退（免）税收汇管理</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"http://ssfb86.com/index/News/detail/newsid/7558.html" </w:instrText>
      </w:r>
      <w:r>
        <w:rPr>
          <w:rFonts w:hint="eastAsia" w:ascii="宋体" w:hAnsi="宋体" w:eastAsia="宋体" w:cs="宋体"/>
          <w:b w:val="0"/>
          <w:bCs/>
          <w:sz w:val="24"/>
          <w:szCs w:val="24"/>
          <w:lang w:val="en-US" w:eastAsia="zh-CN"/>
        </w:rPr>
        <w:fldChar w:fldCharType="separate"/>
      </w:r>
      <w:r>
        <w:rPr>
          <w:rStyle w:val="9"/>
          <w:rFonts w:hint="eastAsia" w:ascii="宋体" w:hAnsi="宋体" w:eastAsia="宋体" w:cs="宋体"/>
          <w:b w:val="0"/>
          <w:bCs/>
          <w:sz w:val="24"/>
          <w:szCs w:val="24"/>
          <w:lang w:val="en-US" w:eastAsia="zh-CN"/>
        </w:rPr>
        <w:t>法规整理</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（一）【收汇规定】</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纳税人适用出口退（免）税政策的出口货物，有关收汇事项应按照以下规定执行：</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lang w:val="en-US" w:eastAsia="zh-CN"/>
        </w:rPr>
        <w:t>1、</w:t>
      </w:r>
      <w:r>
        <w:rPr>
          <w:rFonts w:hint="eastAsia"/>
          <w:sz w:val="24"/>
          <w:szCs w:val="24"/>
          <w:lang w:eastAsia="zh-CN"/>
        </w:rPr>
        <w:t>【收汇截止日期】</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报退（免）税的出口货物，应当在出口退（免）税申报期截止之日前收汇。未在规定期限内收汇，但符合《视同收汇原因及举证材料清单》（附件1）所列原因的，纳税人留存《出口货物收汇情况表》（附件2）及举证材料，即可视同收汇;因出口合同约定全部收汇最终日期在退（免）税申报期截止之日后的，应当在合同约定收汇日期前完成收汇。</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【笔记：收汇截止日期，有哪些规定？</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val="en-US"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1）一般——应在出口退（免）税申报截止前收汇</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2）特别——符合附件1所列十项原因，视同收汇——其中，约定全部收汇最终日期，在退（免）税申报截止日之后的，按合同约定日期前完成收汇</w:t>
      </w:r>
      <w:r>
        <w:rPr>
          <w:rFonts w:hint="eastAsia" w:ascii="楷体" w:hAnsi="楷体" w:eastAsia="楷体" w:cs="楷体"/>
          <w:color w:val="0000FF"/>
          <w:sz w:val="24"/>
          <w:szCs w:val="24"/>
          <w:lang w:eastAsia="zh-CN"/>
        </w:rPr>
        <w:t>】</w:t>
      </w:r>
    </w:p>
    <w:p>
      <w:pPr>
        <w:pStyle w:val="5"/>
        <w:keepNext w:val="0"/>
        <w:keepLines w:val="0"/>
        <w:widowControl/>
        <w:suppressLineNumbers w:val="0"/>
        <w:spacing w:before="0" w:beforeAutospacing="0" w:after="0" w:afterAutospacing="0" w:line="540" w:lineRule="atLeast"/>
        <w:ind w:left="0" w:right="0" w:firstLine="420"/>
        <w:jc w:val="both"/>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【笔记：与以前相比，本规定有哪些变化？——</w:t>
      </w: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第二条第十一项：</w:t>
      </w:r>
    </w:p>
    <w:p>
      <w:pPr>
        <w:pStyle w:val="5"/>
        <w:keepNext w:val="0"/>
        <w:keepLines w:val="0"/>
        <w:widowControl/>
        <w:suppressLineNumbers w:val="0"/>
        <w:spacing w:before="0" w:beforeAutospacing="0" w:after="0" w:afterAutospacing="0" w:line="540" w:lineRule="atLeast"/>
        <w:ind w:left="0" w:right="0" w:firstLine="420"/>
        <w:jc w:val="both"/>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1）</w:t>
      </w:r>
      <w:r>
        <w:rPr>
          <w:rFonts w:hint="eastAsia" w:ascii="楷体" w:hAnsi="楷体" w:eastAsia="楷体" w:cs="楷体"/>
          <w:color w:val="0000FF"/>
          <w:sz w:val="24"/>
          <w:szCs w:val="24"/>
          <w:lang w:eastAsia="zh-CN"/>
        </w:rPr>
        <w:t>减少事前申报事项——取消出口退税货物无法收汇时，需事前申报的要求，改为企业自行留存相关资料以备税务部门核查。</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2）</w:t>
      </w:r>
      <w:r>
        <w:rPr>
          <w:rFonts w:hint="eastAsia" w:ascii="楷体" w:hAnsi="楷体" w:eastAsia="楷体" w:cs="楷体"/>
          <w:color w:val="0000FF"/>
          <w:sz w:val="24"/>
          <w:szCs w:val="24"/>
          <w:lang w:eastAsia="zh-CN"/>
        </w:rPr>
        <w:t>扩大视同收汇范围——对于为应对疫情等影响购买出口信用保险、无法收汇时获得保险赔款的企业——将未收汇则不能退税的政策，调整为将保险赔款视同收汇，予以办理退税。】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lang w:val="en-US" w:eastAsia="zh-CN"/>
        </w:rPr>
        <w:t>2、</w:t>
      </w:r>
      <w:r>
        <w:rPr>
          <w:rFonts w:hint="eastAsia"/>
          <w:sz w:val="24"/>
          <w:szCs w:val="24"/>
          <w:lang w:eastAsia="zh-CN"/>
        </w:rPr>
        <w:t>【需同时报送收汇资料的企业】</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default" w:ascii="楷体" w:hAnsi="楷体" w:eastAsia="楷体" w:cs="楷体"/>
          <w:color w:val="0000FF"/>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出口退（免）税管理类别为四类的纳税人，在申报出口退（免）税时，应当向税务机关报送收汇材料。</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纳税人在退（免）税申报期截止之日后申报出口货物退（免）税的，应当在申报退（免）税时报送收汇材料。</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纳税人被税务机关发现收汇材料为虚假或冒用的，应自税务机关出具书面通知之日起24个月内，在申报出口退（免）税时报送收汇材料。</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除上述情形外，纳税人申报出口退（免）税时，无需报送收汇材料，留存举证材料备查即可。税务机关按规定需要查验收汇情况的，纳税人应当按照税务机关要求报送收汇材料。</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【因收汇问题不予退（免）税的情形】</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报退（免）税的出口货物，具有下列情形之一，税务机关未办理出口退（免）税的，不得办理出口退（免）税；已办理出口退（免）税的，应在发生相关情形的次月用负数申报冲减原退（免）税申报数据，当期退（免）税额不足冲减的，应补缴差额部分的税款：</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因出口合同约定全部收汇最终日期在退（免）税申报期截止之日后的，未在合同约定收汇日期前完成收汇；</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未在规定期限内收汇，且不符合视同收汇规定；</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未按本条规定留存收汇材料。</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在本公告施行前已发生上述情形但尚未处理的出口货物，应当按照本项规定进行处理；纳税人已按规定处理的出口货物，待收齐收汇材料、退（免）税凭证及相关电子信息后，即可申报办理出口退（免）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【笔记：在规定时限内无法收汇，而不予退（免）税的，以后是否补办？——</w:t>
      </w: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第二条第十一项：收齐收汇资料等，可补办退（免）税】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lang w:val="en-US" w:eastAsia="zh-CN"/>
        </w:rPr>
        <w:t>4、</w:t>
      </w:r>
      <w:r>
        <w:rPr>
          <w:rFonts w:hint="eastAsia"/>
          <w:sz w:val="24"/>
          <w:szCs w:val="24"/>
          <w:lang w:eastAsia="zh-CN"/>
        </w:rPr>
        <w:t>【确实无法收汇，且不符合视同收汇的，免税】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纳税人确实无法收汇且不符合视同收汇规定的出口货物，适用增值税免税政策。</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【虚假或冒用收汇的处理，并征税】</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税务机关发现纳税人申报退（免）税的出口货物收汇材料为虚假或者冒用的，应当按照《</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"http://ssfb86.com/index/News/detail/newsid/1036.html" </w:instrText>
      </w:r>
      <w:r>
        <w:rPr>
          <w:rFonts w:hint="eastAsia" w:ascii="宋体" w:hAnsi="宋体" w:eastAsia="宋体" w:cs="宋体"/>
          <w:color w:val="333333"/>
          <w:sz w:val="24"/>
          <w:szCs w:val="24"/>
        </w:rPr>
        <w:fldChar w:fldCharType="separate"/>
      </w:r>
      <w:r>
        <w:rPr>
          <w:rStyle w:val="9"/>
          <w:rFonts w:hint="eastAsia" w:ascii="宋体" w:hAnsi="宋体" w:eastAsia="宋体" w:cs="宋体"/>
          <w:color w:val="333333"/>
          <w:sz w:val="24"/>
          <w:szCs w:val="24"/>
        </w:rPr>
        <w:t>中华人民共和国税收征收管理法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》有关规定进行处理，相应的出口货物适用增值税征税政策。</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（二）【收汇材料概念，举证材料种类】</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条所述收汇材料是指《出口货物收汇情况表》及举证材料。对于已收汇的出口货物，举证材料为银行收汇凭证或者结汇水单等凭证；出口货物为跨境贸易人民币结算、委托出口并由受托方代为收汇，或者委托代办退税并由外贸综合服务企业代为收汇的，可提供收取人民币的收款凭证；对于视同收汇的出口货物，举证材料按照《视同收汇原因及举证材料清单》确定。</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【笔记：收汇材料，包括哪些？——</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val="en-US" w:eastAsia="zh-CN"/>
        </w:rPr>
      </w:pPr>
      <w:r>
        <w:rPr>
          <w:rFonts w:hint="eastAsia" w:ascii="楷体" w:hAnsi="楷体" w:eastAsia="楷体" w:cs="楷体"/>
          <w:color w:val="0000FF"/>
          <w:sz w:val="24"/>
          <w:szCs w:val="24"/>
          <w:lang w:val="en-US" w:eastAsia="zh-CN"/>
        </w:rPr>
        <w:t>1、《出口货物收汇情况表》</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default" w:ascii="楷体" w:hAnsi="楷体" w:eastAsia="楷体" w:cs="楷体"/>
          <w:color w:val="0000FF"/>
          <w:sz w:val="24"/>
          <w:szCs w:val="24"/>
          <w:lang w:val="en-US" w:eastAsia="zh-CN"/>
        </w:rPr>
      </w:pPr>
      <w:r>
        <w:rPr>
          <w:rFonts w:hint="eastAsia" w:ascii="楷体" w:hAnsi="楷体" w:eastAsia="楷体" w:cs="楷体"/>
          <w:color w:val="0000FF"/>
          <w:sz w:val="24"/>
          <w:szCs w:val="24"/>
          <w:lang w:val="en-US" w:eastAsia="zh-CN"/>
        </w:rPr>
        <w:t>2、举证材料——具体为：</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val="en-US" w:eastAsia="zh-CN"/>
        </w:rPr>
      </w:pPr>
      <w:r>
        <w:rPr>
          <w:rFonts w:hint="eastAsia" w:ascii="楷体" w:hAnsi="楷体" w:eastAsia="楷体" w:cs="楷体"/>
          <w:color w:val="0000FF"/>
          <w:sz w:val="24"/>
          <w:szCs w:val="24"/>
          <w:lang w:val="en-US" w:eastAsia="zh-CN"/>
        </w:rPr>
        <w:t>（1）已收汇的——银行收汇凭证，或结汇水单等；</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val="en-US"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2）境境贸易人民币结算、委托出口并由受托方代收汇、外综服代收汇——人民币收款凭证；</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楷体" w:hAnsi="楷体" w:eastAsia="楷体" w:cs="楷体"/>
          <w:color w:val="0000FF"/>
          <w:sz w:val="24"/>
          <w:szCs w:val="24"/>
          <w:lang w:val="en-US" w:eastAsia="zh-CN"/>
        </w:rPr>
        <w:t>（3）视同收汇的——附件1举证材料清单</w:t>
      </w:r>
      <w:r>
        <w:rPr>
          <w:rFonts w:hint="eastAsia" w:ascii="楷体" w:hAnsi="楷体" w:eastAsia="楷体" w:cs="楷体"/>
          <w:color w:val="0000FF"/>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（三）【本条出口货物的外延】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本条所述出口货物，不包括《财政部 国家税务总局关于出口货物劳务增值税和消费税政策的通知》（</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"http://ssfb86.com/index/News/detail/newsid/1559.html" </w:instrText>
      </w:r>
      <w:r>
        <w:rPr>
          <w:rFonts w:hint="eastAsia" w:ascii="宋体" w:hAnsi="宋体" w:eastAsia="宋体" w:cs="宋体"/>
          <w:color w:val="333333"/>
          <w:sz w:val="24"/>
          <w:szCs w:val="24"/>
        </w:rPr>
        <w:fldChar w:fldCharType="separate"/>
      </w:r>
      <w:r>
        <w:rPr>
          <w:rStyle w:val="9"/>
          <w:rFonts w:hint="eastAsia" w:ascii="宋体" w:hAnsi="宋体" w:eastAsia="宋体" w:cs="宋体"/>
          <w:sz w:val="24"/>
          <w:szCs w:val="24"/>
        </w:rPr>
        <w:t>财税〔2012〕39号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）第一条第二项（第2目除外）所列的视同出口货物，以及易货贸易出口货物、边境小额贸易出口货物。</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val="en-US" w:eastAsia="zh-CN"/>
        </w:rPr>
      </w:pPr>
      <w:r>
        <w:rPr>
          <w:rFonts w:hint="eastAsia" w:ascii="楷体" w:hAnsi="楷体" w:eastAsia="楷体" w:cs="楷体"/>
          <w:color w:val="0000FF"/>
          <w:sz w:val="24"/>
          <w:szCs w:val="24"/>
          <w:lang w:eastAsia="zh-CN"/>
        </w:rPr>
        <w:t>【笔记：本条出口收汇的规定，不适用于哪些情形？——</w:t>
      </w:r>
      <w:r>
        <w:rPr>
          <w:rFonts w:hint="eastAsia" w:ascii="楷体" w:hAnsi="楷体" w:eastAsia="楷体" w:cs="楷体"/>
          <w:color w:val="0000FF"/>
          <w:sz w:val="24"/>
          <w:szCs w:val="24"/>
          <w:lang w:val="en-US" w:eastAsia="zh-CN"/>
        </w:rPr>
        <w:t>3种：</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val="en-US" w:eastAsia="zh-CN"/>
        </w:rPr>
      </w:pPr>
      <w:r>
        <w:rPr>
          <w:rFonts w:hint="eastAsia" w:ascii="楷体" w:hAnsi="楷体" w:eastAsia="楷体" w:cs="楷体"/>
          <w:color w:val="0000FF"/>
          <w:sz w:val="24"/>
          <w:szCs w:val="24"/>
          <w:lang w:val="en-US" w:eastAsia="zh-CN"/>
        </w:rPr>
        <w:t>（1）视同出口货物；</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val="en-US"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2）易货贸易出口货物；</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val="en-US" w:eastAsia="zh-CN"/>
        </w:rPr>
        <w:t>（3）边境小额贸易出口货物</w:t>
      </w:r>
      <w:r>
        <w:rPr>
          <w:rFonts w:hint="eastAsia" w:ascii="楷体" w:hAnsi="楷体" w:eastAsia="楷体" w:cs="楷体"/>
          <w:color w:val="0000FF"/>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九、施行时间</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本公告第一条、第二条、第三条自2022年5月1日起施行，第四条、第五条自2022年6月1日起施行，第六条、第七条、第八条自2022年6月21日起施行。《废止的文件条款目录》（附件3）中列明的条款相应停止施行。</w:t>
      </w:r>
    </w:p>
    <w:p>
      <w:pPr>
        <w:pStyle w:val="5"/>
        <w:keepNext w:val="0"/>
        <w:keepLines w:val="0"/>
        <w:widowControl/>
        <w:suppressLineNumbers w:val="0"/>
        <w:spacing w:before="0" w:beforeAutospacing="0" w:after="0" w:afterAutospacing="0" w:line="540" w:lineRule="atLeast"/>
        <w:ind w:left="0" w:right="0" w:firstLine="420"/>
        <w:jc w:val="both"/>
        <w:rPr>
          <w:rFonts w:hint="eastAsia" w:ascii="楷体" w:hAnsi="楷体" w:eastAsia="楷体" w:cs="楷体"/>
          <w:color w:val="0000FF"/>
          <w:sz w:val="24"/>
          <w:szCs w:val="24"/>
          <w:lang w:eastAsia="zh-CN"/>
        </w:rPr>
      </w:pP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eastAsia="zh-CN"/>
        </w:rPr>
        <w:fldChar w:fldCharType="begin"/>
      </w:r>
      <w:r>
        <w:rPr>
          <w:rFonts w:hint="eastAsia" w:ascii="楷体" w:hAnsi="楷体" w:eastAsia="楷体" w:cs="楷体"/>
          <w:color w:val="0000FF"/>
          <w:sz w:val="24"/>
          <w:szCs w:val="24"/>
          <w:lang w:eastAsia="zh-CN"/>
        </w:rPr>
        <w:instrText xml:space="preserve"> HYPERLINK "http://www.chinatax.gov.cn/chinatax/n810341/n810760/c5175045/content.html" </w:instrText>
      </w:r>
      <w:r>
        <w:rPr>
          <w:rFonts w:hint="eastAsia" w:ascii="楷体" w:hAnsi="楷体" w:eastAsia="楷体" w:cs="楷体"/>
          <w:color w:val="0000FF"/>
          <w:sz w:val="24"/>
          <w:szCs w:val="24"/>
          <w:lang w:eastAsia="zh-CN"/>
        </w:rPr>
        <w:fldChar w:fldCharType="separate"/>
      </w:r>
      <w:r>
        <w:rPr>
          <w:rStyle w:val="9"/>
          <w:rFonts w:hint="eastAsia" w:ascii="楷体" w:hAnsi="楷体" w:eastAsia="楷体" w:cs="楷体"/>
          <w:color w:val="0000FF"/>
          <w:sz w:val="24"/>
          <w:szCs w:val="24"/>
          <w:lang w:eastAsia="zh-CN"/>
        </w:rPr>
        <w:t>总局解读</w:t>
      </w:r>
      <w:r>
        <w:rPr>
          <w:rFonts w:hint="eastAsia" w:ascii="楷体" w:hAnsi="楷体" w:eastAsia="楷体" w:cs="楷体"/>
          <w:color w:val="0000FF"/>
          <w:sz w:val="24"/>
          <w:szCs w:val="24"/>
          <w:lang w:eastAsia="zh-CN"/>
        </w:rPr>
        <w:fldChar w:fldCharType="end"/>
      </w:r>
      <w:r>
        <w:rPr>
          <w:rFonts w:hint="eastAsia" w:ascii="楷体" w:hAnsi="楷体" w:eastAsia="楷体" w:cs="楷体"/>
          <w:color w:val="0000FF"/>
          <w:sz w:val="24"/>
          <w:szCs w:val="24"/>
          <w:lang w:eastAsia="zh-CN"/>
        </w:rPr>
        <w:t>第二条第十二项：为什么分期实施？——在会同相关部门加紧开发升级相关信息系统的前提下，结合系统改造难度、措施实现速度，对施行时间进行了分别安排】</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特此公告。</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附件：</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w:t>
      </w:r>
      <w:r>
        <w:rPr>
          <w:rFonts w:hint="eastAsia" w:ascii="宋体" w:hAnsi="宋体" w:eastAsia="宋体" w:cs="宋体"/>
          <w:color w:val="0000FF"/>
          <w:sz w:val="24"/>
          <w:szCs w:val="24"/>
          <w:u w:val="none"/>
        </w:rPr>
        <w:fldChar w:fldCharType="begin"/>
      </w:r>
      <w:r>
        <w:rPr>
          <w:rFonts w:hint="eastAsia" w:ascii="宋体" w:hAnsi="宋体" w:eastAsia="宋体" w:cs="宋体"/>
          <w:color w:val="0000FF"/>
          <w:sz w:val="24"/>
          <w:szCs w:val="24"/>
          <w:u w:val="none"/>
        </w:rPr>
        <w:instrText xml:space="preserve"> HYPERLINK "http://www.chinatax.gov.cn/chinatax/n377/c5175044/5175044/files/视同收汇原因及举证材料清单.pdf" \t "http://www.chinatax.gov.cn/chinatax/n377/c5175044/_blank" </w:instrText>
      </w:r>
      <w:r>
        <w:rPr>
          <w:rFonts w:hint="eastAsia" w:ascii="宋体" w:hAnsi="宋体" w:eastAsia="宋体" w:cs="宋体"/>
          <w:color w:val="0000FF"/>
          <w:sz w:val="24"/>
          <w:szCs w:val="24"/>
          <w:u w:val="none"/>
        </w:rPr>
        <w:fldChar w:fldCharType="separate"/>
      </w:r>
      <w:r>
        <w:rPr>
          <w:rStyle w:val="8"/>
          <w:rFonts w:hint="eastAsia" w:ascii="宋体" w:hAnsi="宋体" w:eastAsia="宋体" w:cs="宋体"/>
          <w:color w:val="0000FF"/>
          <w:sz w:val="24"/>
          <w:szCs w:val="24"/>
          <w:u w:val="none"/>
        </w:rPr>
        <w:t>视同收汇原因及举证材料清单</w:t>
      </w:r>
      <w:r>
        <w:rPr>
          <w:rFonts w:hint="eastAsia" w:ascii="宋体" w:hAnsi="宋体" w:eastAsia="宋体" w:cs="宋体"/>
          <w:color w:val="0000FF"/>
          <w:sz w:val="24"/>
          <w:szCs w:val="24"/>
          <w:u w:val="none"/>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color w:val="0000FF"/>
          <w:sz w:val="24"/>
          <w:szCs w:val="24"/>
          <w:u w:val="none"/>
        </w:rPr>
        <w:fldChar w:fldCharType="begin"/>
      </w:r>
      <w:r>
        <w:rPr>
          <w:rFonts w:hint="eastAsia" w:ascii="宋体" w:hAnsi="宋体" w:eastAsia="宋体" w:cs="宋体"/>
          <w:color w:val="0000FF"/>
          <w:sz w:val="24"/>
          <w:szCs w:val="24"/>
          <w:u w:val="none"/>
        </w:rPr>
        <w:instrText xml:space="preserve"> HYPERLINK "http://www.chinatax.gov.cn/chinatax/n377/c5175044/5175044/files/出口货物收汇情况表.pdf" \t "http://www.chinatax.gov.cn/chinatax/n377/c5175044/_blank" </w:instrText>
      </w:r>
      <w:r>
        <w:rPr>
          <w:rFonts w:hint="eastAsia" w:ascii="宋体" w:hAnsi="宋体" w:eastAsia="宋体" w:cs="宋体"/>
          <w:color w:val="0000FF"/>
          <w:sz w:val="24"/>
          <w:szCs w:val="24"/>
          <w:u w:val="none"/>
        </w:rPr>
        <w:fldChar w:fldCharType="separate"/>
      </w:r>
      <w:r>
        <w:rPr>
          <w:rStyle w:val="8"/>
          <w:rFonts w:hint="eastAsia" w:ascii="宋体" w:hAnsi="宋体" w:eastAsia="宋体" w:cs="宋体"/>
          <w:color w:val="0000FF"/>
          <w:sz w:val="24"/>
          <w:szCs w:val="24"/>
          <w:u w:val="none"/>
        </w:rPr>
        <w:t>出口货物收汇情况表</w:t>
      </w:r>
      <w:r>
        <w:rPr>
          <w:rFonts w:hint="eastAsia" w:ascii="宋体" w:hAnsi="宋体" w:eastAsia="宋体" w:cs="宋体"/>
          <w:color w:val="0000FF"/>
          <w:sz w:val="24"/>
          <w:szCs w:val="24"/>
          <w:u w:val="none"/>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w:t>
      </w:r>
      <w:r>
        <w:rPr>
          <w:rFonts w:hint="eastAsia" w:ascii="宋体" w:hAnsi="宋体" w:eastAsia="宋体" w:cs="宋体"/>
          <w:color w:val="0000FF"/>
          <w:sz w:val="24"/>
          <w:szCs w:val="24"/>
          <w:u w:val="none"/>
        </w:rPr>
        <w:fldChar w:fldCharType="begin"/>
      </w:r>
      <w:r>
        <w:rPr>
          <w:rFonts w:hint="eastAsia" w:ascii="宋体" w:hAnsi="宋体" w:eastAsia="宋体" w:cs="宋体"/>
          <w:color w:val="0000FF"/>
          <w:sz w:val="24"/>
          <w:szCs w:val="24"/>
          <w:u w:val="none"/>
        </w:rPr>
        <w:instrText xml:space="preserve"> HYPERLINK "http://www.chinatax.gov.cn/chinatax/n377/c5175044/5175044/files/废止的文件条款目录.pdf" \t "http://www.chinatax.gov.cn/chinatax/n377/c5175044/_blank" </w:instrText>
      </w:r>
      <w:r>
        <w:rPr>
          <w:rFonts w:hint="eastAsia" w:ascii="宋体" w:hAnsi="宋体" w:eastAsia="宋体" w:cs="宋体"/>
          <w:color w:val="0000FF"/>
          <w:sz w:val="24"/>
          <w:szCs w:val="24"/>
          <w:u w:val="none"/>
        </w:rPr>
        <w:fldChar w:fldCharType="separate"/>
      </w:r>
      <w:r>
        <w:rPr>
          <w:rStyle w:val="8"/>
          <w:rFonts w:hint="eastAsia" w:ascii="宋体" w:hAnsi="宋体" w:eastAsia="宋体" w:cs="宋体"/>
          <w:color w:val="0000FF"/>
          <w:sz w:val="24"/>
          <w:szCs w:val="24"/>
          <w:u w:val="none"/>
        </w:rPr>
        <w:t>废止的文件条款目录</w:t>
      </w:r>
      <w:r>
        <w:rPr>
          <w:rFonts w:hint="eastAsia" w:ascii="宋体" w:hAnsi="宋体" w:eastAsia="宋体" w:cs="宋体"/>
          <w:color w:val="0000FF"/>
          <w:sz w:val="24"/>
          <w:szCs w:val="24"/>
          <w:u w:val="none"/>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2022年4月29日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F7E26"/>
    <w:rsid w:val="0FC51644"/>
    <w:rsid w:val="14E8709E"/>
    <w:rsid w:val="3BD75386"/>
    <w:rsid w:val="4E1271A0"/>
    <w:rsid w:val="557B54F7"/>
    <w:rsid w:val="650E013A"/>
    <w:rsid w:val="6D9F2E69"/>
    <w:rsid w:val="6DC17992"/>
    <w:rsid w:val="7937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hao12"/>
    <w:basedOn w:val="7"/>
    <w:qFormat/>
    <w:uiPriority w:val="0"/>
    <w:rPr>
      <w:b/>
    </w:rPr>
  </w:style>
  <w:style w:type="character" w:customStyle="1" w:styleId="11">
    <w:name w:val="wz"/>
    <w:basedOn w:val="7"/>
    <w:qFormat/>
    <w:uiPriority w:val="0"/>
    <w:rPr>
      <w:vanish/>
      <w:color w:val="808080"/>
    </w:rPr>
  </w:style>
  <w:style w:type="character" w:customStyle="1" w:styleId="12">
    <w:name w:val="hao1"/>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2022-05-13T10:49:00Z</dcterms:created>
  <dc:creator>fzr</dc:creator>
  <cp:lastModifiedBy>默默</cp:lastModifiedBy>
  <dcterms:modified xsi:type="dcterms:W3CDTF">2022-05-13T23:37:00Z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