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"http://ssfb86.com/index/News/detail/newsid/10284.html" </w:instrText>
      </w:r>
      <w:r>
        <w:rPr>
          <w:rFonts w:hint="eastAsia" w:ascii="宋体" w:hAnsi="宋体" w:eastAsia="宋体" w:cs="宋体"/>
          <w:sz w:val="24"/>
          <w:szCs w:val="24"/>
          <w:lang w:val="en-US" w:eastAsia="zh-CN"/>
        </w:rPr>
        <w:fldChar w:fldCharType="separate"/>
      </w:r>
      <w:r>
        <w:rPr>
          <w:rStyle w:val="7"/>
          <w:rFonts w:hint="eastAsia" w:ascii="宋体" w:hAnsi="宋体" w:eastAsia="宋体" w:cs="宋体"/>
          <w:sz w:val="24"/>
          <w:szCs w:val="24"/>
          <w:lang w:val="en-US" w:eastAsia="zh-CN"/>
        </w:rPr>
        <w:t>法规整理</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关于扩大全额退还增值税留抵税额政策行业范围的公告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"http://ssfb86.com/index/News/detail/newsid/10730.html" </w:instrText>
      </w:r>
      <w:r>
        <w:rPr>
          <w:rFonts w:hint="eastAsia" w:ascii="宋体" w:hAnsi="宋体" w:eastAsia="宋体" w:cs="宋体"/>
          <w:sz w:val="24"/>
          <w:szCs w:val="24"/>
        </w:rPr>
        <w:fldChar w:fldCharType="separate"/>
      </w:r>
      <w:r>
        <w:rPr>
          <w:rStyle w:val="7"/>
          <w:rFonts w:hint="eastAsia" w:ascii="宋体" w:hAnsi="宋体" w:eastAsia="宋体" w:cs="宋体"/>
          <w:sz w:val="24"/>
          <w:szCs w:val="24"/>
        </w:rPr>
        <w:t>财政部 税务总局公告2022年第21号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为进一步加大增值税留抵退税政策实施力度，着力稳市场主体稳就业，现将扩大全额退还增值税留抵税额政策行业范围有关政策公告如下：</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【政策内容】</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扩大全额退还增值税留抵税额政策行业范围，将《财政部 税务总局关于进一步加大增值税期末留抵退税政策实施力度的公告》（财政部 税务总局公告2022年第14号，以下称</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"http://ssfb86.com/index/News/detail/newsid/10283.html" </w:instrText>
      </w:r>
      <w:r>
        <w:rPr>
          <w:rFonts w:hint="eastAsia" w:ascii="宋体" w:hAnsi="宋体" w:eastAsia="宋体" w:cs="宋体"/>
          <w:color w:val="333333"/>
          <w:sz w:val="24"/>
          <w:szCs w:val="24"/>
        </w:rPr>
        <w:fldChar w:fldCharType="separate"/>
      </w:r>
      <w:r>
        <w:rPr>
          <w:rStyle w:val="6"/>
          <w:rFonts w:hint="eastAsia" w:ascii="宋体" w:hAnsi="宋体" w:eastAsia="宋体" w:cs="宋体"/>
          <w:sz w:val="24"/>
          <w:szCs w:val="24"/>
        </w:rPr>
        <w:t>2022年第14号公告</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）第二条规定的制造业等行业按月全额退还增值税增量留抵税额、一次性退还存量留抵税额的政策范围，扩大至“</w:t>
      </w:r>
      <w:r>
        <w:rPr>
          <w:rFonts w:hint="eastAsia" w:ascii="宋体" w:hAnsi="宋体" w:eastAsia="宋体" w:cs="宋体"/>
          <w:color w:val="C55A11" w:themeColor="accent2" w:themeShade="BF"/>
          <w:sz w:val="24"/>
          <w:szCs w:val="24"/>
        </w:rPr>
        <w:t>批发和零售业”、“农、林、牧、渔业”、“住宿和餐饮业”、“居民服务、修理和其他服务业”、“教育”、“卫生和社会工作”和“文化、体育和娱乐业</w:t>
      </w:r>
      <w:r>
        <w:rPr>
          <w:rFonts w:hint="eastAsia" w:ascii="宋体" w:hAnsi="宋体" w:eastAsia="宋体" w:cs="宋体"/>
          <w:color w:val="333333"/>
          <w:sz w:val="24"/>
          <w:szCs w:val="24"/>
        </w:rPr>
        <w:t>”（以下称批发零售业等行业）企业（含个体工商户，下同）。</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【笔记：</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1）2022年14号公告的6个行业：</w:t>
      </w:r>
      <w:r>
        <w:rPr>
          <w:rFonts w:hint="eastAsia" w:ascii="楷体" w:hAnsi="楷体" w:eastAsia="楷体" w:cs="楷体"/>
          <w:i w:val="0"/>
          <w:caps w:val="0"/>
          <w:color w:val="0070C0"/>
          <w:spacing w:val="0"/>
          <w:sz w:val="24"/>
          <w:szCs w:val="24"/>
          <w:shd w:val="clear" w:fill="FFFFFF"/>
        </w:rPr>
        <w:t>“制造业”、“科学研究和技术服务业”、“电力、热力、燃气及水生产和供应业”、“软件和信息技术服务业”、“生态保护和环境治理业”和“交通运输、仓储和邮政业”</w:t>
      </w:r>
      <w:r>
        <w:rPr>
          <w:rFonts w:hint="eastAsia" w:ascii="楷体" w:hAnsi="楷体" w:eastAsia="楷体" w:cs="楷体"/>
          <w:i w:val="0"/>
          <w:caps w:val="0"/>
          <w:color w:val="0070C0"/>
          <w:spacing w:val="0"/>
          <w:sz w:val="24"/>
          <w:szCs w:val="24"/>
          <w:shd w:val="clear" w:fill="FFFFFF"/>
          <w:lang w:eastAsia="zh-CN"/>
        </w:rPr>
        <w:t>——简称</w:t>
      </w:r>
      <w:r>
        <w:rPr>
          <w:rFonts w:hint="eastAsia" w:ascii="楷体" w:hAnsi="楷体" w:eastAsia="楷体" w:cs="楷体"/>
          <w:b/>
          <w:bCs/>
          <w:i w:val="0"/>
          <w:caps w:val="0"/>
          <w:color w:val="0070C0"/>
          <w:spacing w:val="0"/>
          <w:sz w:val="24"/>
          <w:szCs w:val="24"/>
          <w:shd w:val="clear" w:fill="FFFFFF"/>
          <w:lang w:eastAsia="zh-CN"/>
        </w:rPr>
        <w:t>制造业等行业</w:t>
      </w:r>
      <w:r>
        <w:rPr>
          <w:rFonts w:hint="eastAsia" w:ascii="楷体" w:hAnsi="楷体" w:eastAsia="楷体" w:cs="楷体"/>
          <w:i w:val="0"/>
          <w:caps w:val="0"/>
          <w:color w:val="0070C0"/>
          <w:spacing w:val="0"/>
          <w:sz w:val="24"/>
          <w:szCs w:val="24"/>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val="en-US" w:eastAsia="zh-CN"/>
        </w:rPr>
        <w:t>2）本公告的新增的7个行业：</w:t>
      </w:r>
      <w:r>
        <w:rPr>
          <w:rFonts w:hint="eastAsia" w:ascii="楷体" w:hAnsi="楷体" w:eastAsia="楷体" w:cs="楷体"/>
          <w:color w:val="0070C0"/>
          <w:sz w:val="24"/>
          <w:szCs w:val="24"/>
        </w:rPr>
        <w:t>“批发和零售业”、“农、林、牧、渔业”、“住宿和餐饮业”、“居民服务、修理和其他服务业”、“教育”、“卫生和社会工作”和“文化、体</w:t>
      </w:r>
      <w:bookmarkStart w:id="0" w:name="_GoBack"/>
      <w:bookmarkEnd w:id="0"/>
      <w:r>
        <w:rPr>
          <w:rFonts w:hint="eastAsia" w:ascii="楷体" w:hAnsi="楷体" w:eastAsia="楷体" w:cs="楷体"/>
          <w:color w:val="0070C0"/>
          <w:sz w:val="24"/>
          <w:szCs w:val="24"/>
        </w:rPr>
        <w:t>育和娱乐业”</w:t>
      </w:r>
      <w:r>
        <w:rPr>
          <w:rFonts w:hint="eastAsia" w:ascii="楷体" w:hAnsi="楷体" w:eastAsia="楷体" w:cs="楷体"/>
          <w:color w:val="0070C0"/>
          <w:sz w:val="24"/>
          <w:szCs w:val="24"/>
          <w:lang w:eastAsia="zh-CN"/>
        </w:rPr>
        <w:t>——简称</w:t>
      </w:r>
      <w:r>
        <w:rPr>
          <w:rFonts w:hint="eastAsia" w:ascii="楷体" w:hAnsi="楷体" w:eastAsia="楷体" w:cs="楷体"/>
          <w:b/>
          <w:bCs/>
          <w:color w:val="0070C0"/>
          <w:sz w:val="24"/>
          <w:szCs w:val="24"/>
          <w:lang w:eastAsia="zh-CN"/>
        </w:rPr>
        <w:t>批发零售业等行业</w:t>
      </w:r>
      <w:r>
        <w:rPr>
          <w:rFonts w:hint="eastAsia" w:ascii="楷体" w:hAnsi="楷体" w:eastAsia="楷体" w:cs="楷体"/>
          <w:color w:val="0070C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（一）符合条件的批发零售业等行业企业，可以自2022年7月纳税申报期起向主管税务机关申请退还增量留抵税额。</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（二）符合条件的批发零售业等行业企业，可以自2022年7月纳税申报期起向主管税务机关申请一次性退还存量留抵税额。</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ascii="宋体" w:hAnsi="宋体" w:eastAsia="宋体" w:cs="宋体"/>
          <w:color w:val="333333"/>
          <w:sz w:val="24"/>
          <w:szCs w:val="24"/>
        </w:rPr>
        <w:t>二、</w:t>
      </w:r>
      <w:r>
        <w:rPr>
          <w:rFonts w:hint="eastAsia"/>
          <w:sz w:val="24"/>
          <w:szCs w:val="24"/>
          <w:lang w:eastAsia="zh-CN"/>
        </w:rPr>
        <w:t>【行业的确定】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"http://ssfb86.com/index/News/detail/newsid/10283.html"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2022年第14号公告</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和本公告所称制造业、批发零售业等行业企业，是指从事《</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"http://ssfb86.com/index/News/detail/newsid/528.html"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国民经济行业分类</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w:t>
      </w:r>
      <w:r>
        <w:rPr>
          <w:rFonts w:hint="eastAsia" w:ascii="宋体" w:hAnsi="宋体" w:eastAsia="宋体" w:cs="宋体"/>
          <w:color w:val="C55A11" w:themeColor="accent2" w:themeShade="BF"/>
          <w:sz w:val="24"/>
          <w:szCs w:val="24"/>
        </w:rPr>
        <w:t>业务相应发生的增值税销售额占全部增值税销售额的比重超过50</w:t>
      </w:r>
      <w:r>
        <w:rPr>
          <w:rFonts w:hint="eastAsia" w:ascii="宋体" w:hAnsi="宋体" w:eastAsia="宋体" w:cs="宋体"/>
          <w:color w:val="333333"/>
          <w:sz w:val="24"/>
          <w:szCs w:val="24"/>
        </w:rPr>
        <w:t>%的纳税人。</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上述销售额比重根据纳税人申请退税前连续12个月的销售额计算确定；申请退税前经营期不满12个月但满3个月的，按照实际经营期的销售额计算确定。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color w:val="333333"/>
          <w:sz w:val="24"/>
          <w:szCs w:val="24"/>
          <w:lang w:eastAsia="zh-CN"/>
        </w:rPr>
      </w:pPr>
      <w:r>
        <w:rPr>
          <w:rFonts w:hint="eastAsia" w:ascii="宋体" w:hAnsi="宋体" w:eastAsia="宋体" w:cs="宋体"/>
          <w:b/>
          <w:color w:val="333333"/>
          <w:sz w:val="24"/>
          <w:szCs w:val="24"/>
        </w:rPr>
        <w:t>三、</w:t>
      </w:r>
      <w:r>
        <w:rPr>
          <w:rFonts w:hint="eastAsia" w:ascii="宋体" w:hAnsi="宋体" w:eastAsia="宋体" w:cs="宋体"/>
          <w:b/>
          <w:color w:val="333333"/>
          <w:sz w:val="24"/>
          <w:szCs w:val="24"/>
          <w:lang w:eastAsia="zh-CN"/>
        </w:rPr>
        <w:t>【中小企业划型的确定】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按照</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"http://ssfb86.com/index/News/detail/newsid/10283.html" </w:instrText>
      </w:r>
      <w:r>
        <w:rPr>
          <w:rFonts w:hint="eastAsia" w:ascii="宋体" w:hAnsi="宋体" w:eastAsia="宋体" w:cs="宋体"/>
          <w:color w:val="333333"/>
          <w:sz w:val="24"/>
          <w:szCs w:val="24"/>
        </w:rPr>
        <w:fldChar w:fldCharType="separate"/>
      </w:r>
      <w:r>
        <w:rPr>
          <w:rStyle w:val="6"/>
          <w:rFonts w:hint="eastAsia" w:ascii="宋体" w:hAnsi="宋体" w:eastAsia="宋体" w:cs="宋体"/>
          <w:sz w:val="24"/>
          <w:szCs w:val="24"/>
        </w:rPr>
        <w:t>2022年第14号公告</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第六条规定适用《中小企业划型标准规定》（</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"http://ssfb86.com/index/News/detail/newsid/1729.html"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工信部联企业〔2011〕300号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）和《金融业企业划型标准规定》（银发〔2015〕309号）时，纳税人的行业归属，根据《</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"http://ssfb86.com/index/News/detail/newsid/528.html"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国民经济行业分类</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》关于以主要经济活动确定行业归属的原则，以上一会计年度从事《</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"http://ssfb86.com/index/News/detail/newsid/528.html"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国民经济行业分类</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》对应业务增值税销售额占全部增值税销售额比重最高的行业确定。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【笔记：</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1）划型标准</w:t>
      </w: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color w:val="0070C0"/>
          <w:sz w:val="24"/>
          <w:szCs w:val="24"/>
        </w:rPr>
        <w:t>《中小企业划型标准规定》（</w:t>
      </w:r>
      <w:r>
        <w:rPr>
          <w:rFonts w:hint="eastAsia" w:ascii="楷体" w:hAnsi="楷体" w:eastAsia="楷体" w:cs="楷体"/>
          <w:color w:val="0070C0"/>
          <w:sz w:val="24"/>
          <w:szCs w:val="24"/>
        </w:rPr>
        <w:fldChar w:fldCharType="begin"/>
      </w:r>
      <w:r>
        <w:rPr>
          <w:rFonts w:hint="eastAsia" w:ascii="楷体" w:hAnsi="楷体" w:eastAsia="楷体" w:cs="楷体"/>
          <w:color w:val="0070C0"/>
          <w:sz w:val="24"/>
          <w:szCs w:val="24"/>
        </w:rPr>
        <w:instrText xml:space="preserve"> HYPERLINK "http://ssfb86.com/index/News/detail/newsid/1729.html" </w:instrText>
      </w:r>
      <w:r>
        <w:rPr>
          <w:rFonts w:hint="eastAsia" w:ascii="楷体" w:hAnsi="楷体" w:eastAsia="楷体" w:cs="楷体"/>
          <w:color w:val="0070C0"/>
          <w:sz w:val="24"/>
          <w:szCs w:val="24"/>
        </w:rPr>
        <w:fldChar w:fldCharType="separate"/>
      </w:r>
      <w:r>
        <w:rPr>
          <w:rStyle w:val="7"/>
          <w:rFonts w:hint="eastAsia" w:ascii="楷体" w:hAnsi="楷体" w:eastAsia="楷体" w:cs="楷体"/>
          <w:color w:val="0070C0"/>
          <w:sz w:val="24"/>
          <w:szCs w:val="24"/>
        </w:rPr>
        <w:t>工信部联企业〔2011〕300号</w:t>
      </w:r>
      <w:r>
        <w:rPr>
          <w:rFonts w:hint="eastAsia" w:ascii="楷体" w:hAnsi="楷体" w:eastAsia="楷体" w:cs="楷体"/>
          <w:color w:val="0070C0"/>
          <w:sz w:val="24"/>
          <w:szCs w:val="24"/>
        </w:rPr>
        <w:fldChar w:fldCharType="end"/>
      </w:r>
      <w:r>
        <w:rPr>
          <w:rFonts w:hint="eastAsia" w:ascii="楷体" w:hAnsi="楷体" w:eastAsia="楷体" w:cs="楷体"/>
          <w:color w:val="0070C0"/>
          <w:sz w:val="24"/>
          <w:szCs w:val="24"/>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val="en-US" w:eastAsia="zh-CN"/>
        </w:rPr>
        <w:t>2）行业归属——</w:t>
      </w:r>
      <w:r>
        <w:rPr>
          <w:rFonts w:hint="eastAsia" w:ascii="楷体" w:hAnsi="楷体" w:eastAsia="楷体" w:cs="楷体"/>
          <w:color w:val="0070C0"/>
          <w:sz w:val="24"/>
          <w:szCs w:val="24"/>
        </w:rPr>
        <w:t>《</w:t>
      </w:r>
      <w:r>
        <w:rPr>
          <w:rFonts w:hint="eastAsia" w:ascii="楷体" w:hAnsi="楷体" w:eastAsia="楷体" w:cs="楷体"/>
          <w:color w:val="0070C0"/>
          <w:sz w:val="24"/>
          <w:szCs w:val="24"/>
        </w:rPr>
        <w:fldChar w:fldCharType="begin"/>
      </w:r>
      <w:r>
        <w:rPr>
          <w:rFonts w:hint="eastAsia" w:ascii="楷体" w:hAnsi="楷体" w:eastAsia="楷体" w:cs="楷体"/>
          <w:color w:val="0070C0"/>
          <w:sz w:val="24"/>
          <w:szCs w:val="24"/>
        </w:rPr>
        <w:instrText xml:space="preserve"> HYPERLINK "http://ssfb86.com/index/News/detail/newsid/528.html" </w:instrText>
      </w:r>
      <w:r>
        <w:rPr>
          <w:rFonts w:hint="eastAsia" w:ascii="楷体" w:hAnsi="楷体" w:eastAsia="楷体" w:cs="楷体"/>
          <w:color w:val="0070C0"/>
          <w:sz w:val="24"/>
          <w:szCs w:val="24"/>
        </w:rPr>
        <w:fldChar w:fldCharType="separate"/>
      </w:r>
      <w:r>
        <w:rPr>
          <w:rStyle w:val="7"/>
          <w:rFonts w:hint="eastAsia" w:ascii="楷体" w:hAnsi="楷体" w:eastAsia="楷体" w:cs="楷体"/>
          <w:color w:val="0070C0"/>
          <w:sz w:val="24"/>
          <w:szCs w:val="24"/>
        </w:rPr>
        <w:t>国民经济行业分类</w:t>
      </w:r>
      <w:r>
        <w:rPr>
          <w:rFonts w:hint="eastAsia" w:ascii="楷体" w:hAnsi="楷体" w:eastAsia="楷体" w:cs="楷体"/>
          <w:color w:val="0070C0"/>
          <w:sz w:val="24"/>
          <w:szCs w:val="24"/>
        </w:rPr>
        <w:fldChar w:fldCharType="end"/>
      </w:r>
      <w:r>
        <w:rPr>
          <w:rFonts w:hint="eastAsia" w:ascii="楷体" w:hAnsi="楷体" w:eastAsia="楷体" w:cs="楷体"/>
          <w:color w:val="0070C0"/>
          <w:sz w:val="24"/>
          <w:szCs w:val="24"/>
        </w:rPr>
        <w:t>》</w:t>
      </w:r>
      <w:r>
        <w:rPr>
          <w:rFonts w:hint="eastAsia" w:ascii="楷体" w:hAnsi="楷体" w:eastAsia="楷体" w:cs="楷体"/>
          <w:color w:val="0070C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四、</w:t>
      </w:r>
      <w:r>
        <w:rPr>
          <w:rFonts w:hint="eastAsia" w:ascii="宋体" w:hAnsi="宋体" w:eastAsia="宋体" w:cs="宋体"/>
          <w:b/>
          <w:color w:val="333333"/>
          <w:sz w:val="24"/>
          <w:szCs w:val="24"/>
          <w:lang w:eastAsia="zh-CN"/>
        </w:rPr>
        <w:t>【其他规定的适用】</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制造业、批发零售业等行业企业申请留抵退税的其他规定，继续按照</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"http://ssfb86.com/index/News/detail/newsid/10283.html"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2022年第14号公告</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等有关规定执行。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五、</w:t>
      </w:r>
      <w:r>
        <w:rPr>
          <w:rFonts w:hint="eastAsia" w:ascii="宋体" w:hAnsi="宋体" w:eastAsia="宋体" w:cs="宋体"/>
          <w:b/>
          <w:color w:val="333333"/>
          <w:sz w:val="24"/>
          <w:szCs w:val="24"/>
          <w:lang w:eastAsia="zh-CN"/>
        </w:rPr>
        <w:t>【施行日期】</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本公告第一条和第二条自2022年7月1日起执行；第三条自公告发布之日起执行。</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各级财政和税务部门要坚决贯彻党中央、国务院决策部署，按照</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"http://ssfb86.com/index/News/detail/newsid/10283.html"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2022年第14号公告</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、《财政部 税务总局关于进一步加快增值税期末留抵退税政策实施进度的公告》（</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"http://ssfb86.com/index/News/detail/newsid/10395.html"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财政部 税务总局公告2022年第17号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）、《财政部 税务总局关于进一步持续加快增值税期末留抵退税政策实施进度的公告》（</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"http://ssfb86.com/index/News/detail/newsid/10535.html"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财政部 税务总局公告2022年第19号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）和本公告有关要求，在纳税人自愿申请的基础上，狠抓落实，持续加快留抵退税进度。同时，严密防范退税风险，严厉打击骗税行为。</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特此公告。</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财政部 税务总局</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2022年6月7日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0127B"/>
    <w:rsid w:val="14D00C4A"/>
    <w:rsid w:val="1CD3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uiPriority w:val="0"/>
    <w:rPr>
      <w:color w:val="333333"/>
      <w:u w:val="none"/>
    </w:rPr>
  </w:style>
  <w:style w:type="character" w:customStyle="1" w:styleId="8">
    <w:name w:val="hao1"/>
    <w:basedOn w:val="5"/>
    <w:qFormat/>
    <w:uiPriority w:val="0"/>
    <w:rPr>
      <w:b/>
    </w:rPr>
  </w:style>
  <w:style w:type="character" w:customStyle="1" w:styleId="9">
    <w:name w:val="wz"/>
    <w:basedOn w:val="5"/>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2022-06-07T13:56:00Z</dcterms:created>
  <dc:creator>fzr</dc:creator>
  <cp:lastModifiedBy>默默</cp:lastModifiedBy>
  <dcterms:modified xsi:type="dcterms:W3CDTF">2022-06-07T21:35:27Z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