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b/>
          <w:bCs/>
          <w:i w:val="0"/>
          <w:iCs w:val="0"/>
          <w:caps w:val="0"/>
          <w:color w:val="C55A11" w:themeColor="accent2" w:themeShade="BF"/>
          <w:spacing w:val="0"/>
          <w:sz w:val="44"/>
          <w:szCs w:val="44"/>
        </w:rPr>
      </w:pPr>
      <w:r>
        <w:rPr>
          <w:rFonts w:hint="eastAsia" w:ascii="宋体" w:hAnsi="宋体" w:eastAsia="宋体" w:cs="宋体"/>
          <w:b/>
          <w:bCs/>
          <w:i w:val="0"/>
          <w:iCs w:val="0"/>
          <w:caps w:val="0"/>
          <w:color w:val="C55A11" w:themeColor="accent2" w:themeShade="BF"/>
          <w:spacing w:val="0"/>
          <w:sz w:val="44"/>
          <w:szCs w:val="44"/>
          <w:shd w:val="clear" w:fill="FFFFFF"/>
        </w:rPr>
        <w:t>关于交易型开放式基金纳入内地与香港股票市场交易互联互通机制后</w:t>
      </w:r>
      <w:r>
        <w:rPr>
          <w:rFonts w:hint="eastAsia" w:ascii="宋体" w:hAnsi="宋体" w:eastAsia="宋体" w:cs="宋体"/>
          <w:b/>
          <w:bCs/>
          <w:i w:val="0"/>
          <w:iCs w:val="0"/>
          <w:caps w:val="0"/>
          <w:color w:val="C55A11" w:themeColor="accent2" w:themeShade="BF"/>
          <w:spacing w:val="0"/>
          <w:kern w:val="0"/>
          <w:sz w:val="44"/>
          <w:szCs w:val="44"/>
          <w:shd w:val="clear" w:fill="FFFFFF"/>
          <w:lang w:val="en-US" w:eastAsia="zh-CN" w:bidi="ar"/>
        </w:rPr>
        <w:t>适用税收政策问题的公告</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"http://ssfb86.com/index/News/detail/newsid/11032.html"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财政部 税务总局 证监会公告2022年第24号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现将交易型开放式基金（ETF）纳入内地与香港股票市场交易互联互通机制后适用有关税收政策问题明确如下：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适用政策</w:t>
      </w:r>
      <w:r>
        <w:rPr>
          <w:rFonts w:hint="eastAsia" w:ascii="宋体" w:hAnsi="宋体" w:eastAsia="宋体" w:cs="宋体"/>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交易型开放式基金（ETF）纳入内地与香港股票市场交易互联互通机制后，适用现行内地与香港基金互认有关税收政策。具体按照《财政部 国家税务总局 证监会关于内地与香港基金互认有关税收政策的通知》（</w:t>
      </w:r>
      <w:r>
        <w:rPr>
          <w:rFonts w:hint="eastAsia" w:ascii="宋体" w:hAnsi="宋体" w:eastAsia="宋体" w:cs="宋体"/>
          <w:i w:val="0"/>
          <w:iCs w:val="0"/>
          <w:caps w:val="0"/>
          <w:color w:val="333333"/>
          <w:spacing w:val="0"/>
          <w:sz w:val="24"/>
          <w:szCs w:val="24"/>
          <w:bdr w:val="none" w:color="auto" w:sz="0" w:space="0"/>
          <w:shd w:val="clear" w:fill="FFFFFF"/>
        </w:rPr>
        <w:fldChar w:fldCharType="begin"/>
      </w:r>
      <w:r>
        <w:rPr>
          <w:rFonts w:hint="eastAsia" w:ascii="宋体" w:hAnsi="宋体" w:eastAsia="宋体" w:cs="宋体"/>
          <w:i w:val="0"/>
          <w:iCs w:val="0"/>
          <w:caps w:val="0"/>
          <w:color w:val="333333"/>
          <w:spacing w:val="0"/>
          <w:sz w:val="24"/>
          <w:szCs w:val="24"/>
          <w:bdr w:val="none" w:color="auto" w:sz="0" w:space="0"/>
          <w:shd w:val="clear" w:fill="FFFFFF"/>
        </w:rPr>
        <w:instrText xml:space="preserve"> HYPERLINK "http://ssfb86.com/index/News/detail/newsid/854.html" </w:instrText>
      </w:r>
      <w:r>
        <w:rPr>
          <w:rFonts w:hint="eastAsia" w:ascii="宋体" w:hAnsi="宋体" w:eastAsia="宋体" w:cs="宋体"/>
          <w:i w:val="0"/>
          <w:iCs w:val="0"/>
          <w:caps w:val="0"/>
          <w:color w:val="333333"/>
          <w:spacing w:val="0"/>
          <w:sz w:val="24"/>
          <w:szCs w:val="24"/>
          <w:bdr w:val="none" w:color="auto" w:sz="0" w:space="0"/>
          <w:shd w:val="clear" w:fill="FFFFFF"/>
        </w:rPr>
        <w:fldChar w:fldCharType="separate"/>
      </w:r>
      <w:r>
        <w:rPr>
          <w:rStyle w:val="7"/>
          <w:rFonts w:hint="eastAsia" w:ascii="宋体" w:hAnsi="宋体" w:eastAsia="宋体" w:cs="宋体"/>
          <w:i w:val="0"/>
          <w:iCs w:val="0"/>
          <w:caps w:val="0"/>
          <w:spacing w:val="0"/>
          <w:sz w:val="24"/>
          <w:szCs w:val="24"/>
          <w:bdr w:val="none" w:color="auto" w:sz="0" w:space="0"/>
          <w:shd w:val="clear" w:fill="FFFFFF"/>
        </w:rPr>
        <w:t>财税〔2015〕125号</w:t>
      </w:r>
      <w:r>
        <w:rPr>
          <w:rFonts w:hint="eastAsia" w:ascii="宋体" w:hAnsi="宋体" w:eastAsia="宋体" w:cs="宋体"/>
          <w:i w:val="0"/>
          <w:iCs w:val="0"/>
          <w:caps w:val="0"/>
          <w:color w:val="333333"/>
          <w:spacing w:val="0"/>
          <w:sz w:val="24"/>
          <w:szCs w:val="24"/>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）、《财政部 国家税务总局关于全面推开营业税改征增值税试点的通知》（</w:t>
      </w:r>
      <w:r>
        <w:rPr>
          <w:rFonts w:hint="eastAsia" w:ascii="宋体" w:hAnsi="宋体" w:eastAsia="宋体" w:cs="宋体"/>
          <w:i w:val="0"/>
          <w:iCs w:val="0"/>
          <w:caps w:val="0"/>
          <w:color w:val="333333"/>
          <w:spacing w:val="0"/>
          <w:sz w:val="24"/>
          <w:szCs w:val="24"/>
          <w:bdr w:val="none" w:color="auto" w:sz="0" w:space="0"/>
          <w:shd w:val="clear" w:fill="FFFFFF"/>
        </w:rPr>
        <w:fldChar w:fldCharType="begin"/>
      </w:r>
      <w:r>
        <w:rPr>
          <w:rFonts w:hint="eastAsia" w:ascii="宋体" w:hAnsi="宋体" w:eastAsia="宋体" w:cs="宋体"/>
          <w:i w:val="0"/>
          <w:iCs w:val="0"/>
          <w:caps w:val="0"/>
          <w:color w:val="333333"/>
          <w:spacing w:val="0"/>
          <w:sz w:val="24"/>
          <w:szCs w:val="24"/>
          <w:bdr w:val="none" w:color="auto" w:sz="0" w:space="0"/>
          <w:shd w:val="clear" w:fill="FFFFFF"/>
        </w:rPr>
        <w:instrText xml:space="preserve"> HYPERLINK "http://ssfb86.com/index/News/detail/newsid/7033.html" </w:instrText>
      </w:r>
      <w:r>
        <w:rPr>
          <w:rFonts w:hint="eastAsia" w:ascii="宋体" w:hAnsi="宋体" w:eastAsia="宋体" w:cs="宋体"/>
          <w:i w:val="0"/>
          <w:iCs w:val="0"/>
          <w:caps w:val="0"/>
          <w:color w:val="333333"/>
          <w:spacing w:val="0"/>
          <w:sz w:val="24"/>
          <w:szCs w:val="24"/>
          <w:bdr w:val="none" w:color="auto" w:sz="0" w:space="0"/>
          <w:shd w:val="clear" w:fill="FFFFFF"/>
        </w:rPr>
        <w:fldChar w:fldCharType="separate"/>
      </w:r>
      <w:r>
        <w:rPr>
          <w:rStyle w:val="7"/>
          <w:rFonts w:hint="eastAsia" w:ascii="宋体" w:hAnsi="宋体" w:eastAsia="宋体" w:cs="宋体"/>
          <w:i w:val="0"/>
          <w:iCs w:val="0"/>
          <w:caps w:val="0"/>
          <w:spacing w:val="0"/>
          <w:sz w:val="24"/>
          <w:szCs w:val="24"/>
          <w:bdr w:val="none" w:color="auto" w:sz="0" w:space="0"/>
          <w:shd w:val="clear" w:fill="FFFFFF"/>
        </w:rPr>
        <w:t>财税〔2016〕36号</w:t>
      </w:r>
      <w:r>
        <w:rPr>
          <w:rFonts w:hint="eastAsia" w:ascii="宋体" w:hAnsi="宋体" w:eastAsia="宋体" w:cs="宋体"/>
          <w:i w:val="0"/>
          <w:iCs w:val="0"/>
          <w:caps w:val="0"/>
          <w:color w:val="333333"/>
          <w:spacing w:val="0"/>
          <w:sz w:val="24"/>
          <w:szCs w:val="24"/>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）、《财政部 税务总局 证监会关于继续执行沪港、深港股票市场交易互联互通机制和内地与香港基金互认有关个人所得税政策的公告》（</w:t>
      </w:r>
      <w:r>
        <w:rPr>
          <w:rFonts w:hint="eastAsia" w:ascii="宋体" w:hAnsi="宋体" w:eastAsia="宋体" w:cs="宋体"/>
          <w:i w:val="0"/>
          <w:iCs w:val="0"/>
          <w:caps w:val="0"/>
          <w:color w:val="333333"/>
          <w:spacing w:val="0"/>
          <w:sz w:val="24"/>
          <w:szCs w:val="24"/>
          <w:bdr w:val="none" w:color="auto" w:sz="0" w:space="0"/>
          <w:shd w:val="clear" w:fill="FFFFFF"/>
        </w:rPr>
        <w:fldChar w:fldCharType="begin"/>
      </w:r>
      <w:r>
        <w:rPr>
          <w:rFonts w:hint="eastAsia" w:ascii="宋体" w:hAnsi="宋体" w:eastAsia="宋体" w:cs="宋体"/>
          <w:i w:val="0"/>
          <w:iCs w:val="0"/>
          <w:caps w:val="0"/>
          <w:color w:val="333333"/>
          <w:spacing w:val="0"/>
          <w:sz w:val="24"/>
          <w:szCs w:val="24"/>
          <w:bdr w:val="none" w:color="auto" w:sz="0" w:space="0"/>
          <w:shd w:val="clear" w:fill="FFFFFF"/>
        </w:rPr>
        <w:instrText xml:space="preserve"> HYPERLINK "http://ssfb86.com/index/News/detail/newsid/76.html" </w:instrText>
      </w:r>
      <w:r>
        <w:rPr>
          <w:rFonts w:hint="eastAsia" w:ascii="宋体" w:hAnsi="宋体" w:eastAsia="宋体" w:cs="宋体"/>
          <w:i w:val="0"/>
          <w:iCs w:val="0"/>
          <w:caps w:val="0"/>
          <w:color w:val="333333"/>
          <w:spacing w:val="0"/>
          <w:sz w:val="24"/>
          <w:szCs w:val="24"/>
          <w:bdr w:val="none" w:color="auto" w:sz="0" w:space="0"/>
          <w:shd w:val="clear" w:fill="FFFFFF"/>
        </w:rPr>
        <w:fldChar w:fldCharType="separate"/>
      </w:r>
      <w:r>
        <w:rPr>
          <w:rStyle w:val="7"/>
          <w:rFonts w:hint="eastAsia" w:ascii="宋体" w:hAnsi="宋体" w:eastAsia="宋体" w:cs="宋体"/>
          <w:i w:val="0"/>
          <w:iCs w:val="0"/>
          <w:caps w:val="0"/>
          <w:spacing w:val="0"/>
          <w:sz w:val="24"/>
          <w:szCs w:val="24"/>
          <w:bdr w:val="none" w:color="auto" w:sz="0" w:space="0"/>
          <w:shd w:val="clear" w:fill="FFFFFF"/>
        </w:rPr>
        <w:t>财政部 税务总局 证监会公告2019年第93号</w:t>
      </w:r>
      <w:r>
        <w:rPr>
          <w:rFonts w:hint="eastAsia" w:ascii="宋体" w:hAnsi="宋体" w:eastAsia="宋体" w:cs="宋体"/>
          <w:i w:val="0"/>
          <w:iCs w:val="0"/>
          <w:caps w:val="0"/>
          <w:color w:val="333333"/>
          <w:spacing w:val="0"/>
          <w:sz w:val="24"/>
          <w:szCs w:val="24"/>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）等相关规定执行。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【笔记；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1、增值税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firstLine="480" w:firstLineChars="20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（1）内地投资者——个人，免征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firstLine="480" w:firstLineChars="20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 xml:space="preserve">               ——企业，按金融商品转让，计征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firstLine="480" w:firstLineChars="200"/>
        <w:jc w:val="both"/>
        <w:textAlignment w:val="auto"/>
        <w:rPr>
          <w:rFonts w:hint="default"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（2）香港投资者</w:t>
      </w:r>
      <w:r>
        <w:rPr>
          <w:rFonts w:hint="eastAsia" w:ascii="楷体" w:hAnsi="楷体" w:eastAsia="楷体" w:cs="楷体"/>
          <w:i w:val="0"/>
          <w:iCs w:val="0"/>
          <w:caps w:val="0"/>
          <w:color w:val="0070C0"/>
          <w:spacing w:val="0"/>
          <w:sz w:val="24"/>
          <w:szCs w:val="24"/>
          <w:shd w:val="clear" w:fill="FFFFFF"/>
          <w:lang w:val="en-US" w:eastAsia="zh-CN"/>
        </w:rPr>
        <w:t>（</w:t>
      </w:r>
      <w:r>
        <w:rPr>
          <w:rFonts w:hint="eastAsia" w:ascii="楷体" w:hAnsi="楷体" w:eastAsia="楷体" w:cs="楷体"/>
          <w:i w:val="0"/>
          <w:iCs w:val="0"/>
          <w:caps w:val="0"/>
          <w:color w:val="0070C0"/>
          <w:spacing w:val="0"/>
          <w:sz w:val="24"/>
          <w:szCs w:val="24"/>
          <w:shd w:val="clear" w:fill="FFFFFF"/>
          <w:lang w:val="en-US" w:eastAsia="zh-CN"/>
        </w:rPr>
        <w:t>无论企业、个人）——免征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2、所得税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3359" w:leftChars="228" w:right="0" w:hanging="2880" w:hangingChars="120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（1）内地投资者——个人——分得收益，按20%代扣个税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3359" w:leftChars="228" w:right="0" w:hanging="2880" w:hangingChars="1200"/>
        <w:jc w:val="both"/>
        <w:textAlignment w:val="auto"/>
        <w:rPr>
          <w:rFonts w:hint="default"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 xml:space="preserve">                       ——转让差价收益，2022年前免征</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3359" w:leftChars="228" w:right="0" w:hanging="2880" w:hangingChars="120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 xml:space="preserve">            ——企业——分得收益+转让差价收益，计入收入总额计税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3359" w:leftChars="228" w:right="0" w:hanging="2880" w:hangingChars="120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（2）香港投资者（</w:t>
      </w:r>
      <w:r>
        <w:rPr>
          <w:rFonts w:hint="eastAsia" w:ascii="楷体" w:hAnsi="楷体" w:eastAsia="楷体" w:cs="楷体"/>
          <w:i w:val="0"/>
          <w:iCs w:val="0"/>
          <w:caps w:val="0"/>
          <w:color w:val="0070C0"/>
          <w:spacing w:val="0"/>
          <w:sz w:val="24"/>
          <w:szCs w:val="24"/>
          <w:shd w:val="clear" w:fill="FFFFFF"/>
          <w:lang w:val="en-US" w:eastAsia="zh-CN"/>
        </w:rPr>
        <w:t>无论企业、个人）——</w:t>
      </w:r>
      <w:r>
        <w:rPr>
          <w:rFonts w:hint="eastAsia" w:ascii="楷体" w:hAnsi="楷体" w:eastAsia="楷体" w:cs="楷体"/>
          <w:i w:val="0"/>
          <w:iCs w:val="0"/>
          <w:caps w:val="0"/>
          <w:color w:val="0070C0"/>
          <w:spacing w:val="0"/>
          <w:sz w:val="24"/>
          <w:szCs w:val="24"/>
          <w:bdr w:val="none" w:color="auto" w:sz="0" w:space="0"/>
          <w:shd w:val="clear" w:fill="FFFFFF"/>
          <w:lang w:val="en-US" w:eastAsia="zh-CN"/>
        </w:rPr>
        <w:t>——转让差价收益，均免征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5999" w:leftChars="228" w:right="0" w:hanging="5520" w:hangingChars="230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 xml:space="preserve">                                 ——分配收益——股息，按10%扣缴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5999" w:leftChars="228" w:right="0" w:hanging="5520" w:hangingChars="2300"/>
        <w:jc w:val="both"/>
        <w:textAlignment w:val="auto"/>
        <w:rPr>
          <w:rFonts w:hint="default"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 xml:space="preserve">                                             ——债息，按7%扣缴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bdr w:val="none" w:color="auto" w:sz="0" w:space="0"/>
          <w:shd w:val="clear" w:fill="FFFFFF"/>
          <w:lang w:val="en-US" w:eastAsia="zh-CN"/>
        </w:rPr>
        <w:t>3、印花税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both"/>
        <w:textAlignment w:val="auto"/>
        <w:rPr>
          <w:rFonts w:hint="default" w:ascii="楷体" w:hAnsi="楷体" w:eastAsia="楷体" w:cs="楷体"/>
          <w:i w:val="0"/>
          <w:iCs w:val="0"/>
          <w:caps w:val="0"/>
          <w:color w:val="0070C0"/>
          <w:spacing w:val="0"/>
          <w:sz w:val="24"/>
          <w:szCs w:val="24"/>
          <w:shd w:val="clear" w:fill="FFFFFF"/>
          <w:lang w:val="en-US" w:eastAsia="zh-CN"/>
        </w:rPr>
      </w:pPr>
      <w:r>
        <w:rPr>
          <w:rFonts w:hint="eastAsia" w:ascii="楷体" w:hAnsi="楷体" w:eastAsia="楷体" w:cs="楷体"/>
          <w:i w:val="0"/>
          <w:iCs w:val="0"/>
          <w:caps w:val="0"/>
          <w:color w:val="0070C0"/>
          <w:spacing w:val="0"/>
          <w:sz w:val="24"/>
          <w:szCs w:val="24"/>
          <w:shd w:val="clear" w:fill="FFFFFF"/>
          <w:lang w:val="en-US" w:eastAsia="zh-CN"/>
        </w:rPr>
        <w:t>（1）内地投资者——按香港税法缴纳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bdr w:val="none" w:color="auto" w:sz="0" w:space="0"/>
          <w:shd w:val="clear" w:fill="FFFFFF"/>
          <w:lang w:val="en-US" w:eastAsia="zh-CN"/>
        </w:rPr>
      </w:pPr>
      <w:r>
        <w:rPr>
          <w:rFonts w:hint="eastAsia" w:ascii="楷体" w:hAnsi="楷体" w:eastAsia="楷体" w:cs="楷体"/>
          <w:i w:val="0"/>
          <w:iCs w:val="0"/>
          <w:caps w:val="0"/>
          <w:color w:val="0070C0"/>
          <w:spacing w:val="0"/>
          <w:sz w:val="24"/>
          <w:szCs w:val="24"/>
          <w:shd w:val="clear" w:fill="FFFFFF"/>
          <w:lang w:val="en-US" w:eastAsia="zh-CN"/>
        </w:rPr>
        <w:t>（2）香港投资者（</w:t>
      </w:r>
      <w:r>
        <w:rPr>
          <w:rFonts w:hint="eastAsia" w:ascii="楷体" w:hAnsi="楷体" w:eastAsia="楷体" w:cs="楷体"/>
          <w:i w:val="0"/>
          <w:iCs w:val="0"/>
          <w:caps w:val="0"/>
          <w:color w:val="0070C0"/>
          <w:spacing w:val="0"/>
          <w:sz w:val="24"/>
          <w:szCs w:val="24"/>
          <w:shd w:val="clear" w:fill="FFFFFF"/>
          <w:lang w:val="en-US" w:eastAsia="zh-CN"/>
        </w:rPr>
        <w:t>无论企业、个人）——</w:t>
      </w:r>
      <w:r>
        <w:rPr>
          <w:rFonts w:hint="eastAsia" w:ascii="楷体" w:hAnsi="楷体" w:eastAsia="楷体" w:cs="楷体"/>
          <w:i w:val="0"/>
          <w:iCs w:val="0"/>
          <w:caps w:val="0"/>
          <w:color w:val="0070C0"/>
          <w:spacing w:val="0"/>
          <w:sz w:val="24"/>
          <w:szCs w:val="24"/>
          <w:shd w:val="clear" w:fill="FFFFFF"/>
          <w:lang w:val="en-US" w:eastAsia="zh-CN"/>
        </w:rPr>
        <w:t>——暂不征</w:t>
      </w:r>
      <w:r>
        <w:rPr>
          <w:rFonts w:hint="eastAsia" w:ascii="楷体" w:hAnsi="楷体" w:eastAsia="楷体" w:cs="楷体"/>
          <w:i w:val="0"/>
          <w:iCs w:val="0"/>
          <w:caps w:val="0"/>
          <w:color w:val="0070C0"/>
          <w:spacing w:val="0"/>
          <w:sz w:val="24"/>
          <w:szCs w:val="24"/>
          <w:bdr w:val="none" w:color="auto" w:sz="0" w:space="0"/>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both"/>
        <w:textAlignment w:val="auto"/>
        <w:rPr>
          <w:rFonts w:hint="default"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二、【个人所得税扣缴】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中国证券登记结算有限责任公司负责代扣代缴内地投资者从香港基金分配取得收益的个人所得税。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特此公告。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税务总局 证监会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2022年6月30日</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000000"/>
    <w:rsid w:val="01614DCA"/>
    <w:rsid w:val="0A69684F"/>
    <w:rsid w:val="67FB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single"/>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2022-07-02T13:20:00Z</dcterms:created>
  <dc:creator>tsuser</dc:creator>
  <cp:lastModifiedBy>tsuser</cp:lastModifiedBy>
  <dcterms:modified xsi:type="dcterms:W3CDTF">2022-07-02T13:55:07Z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316DB728601143E4B41771F888995C86</vt:lpwstr>
  </property>
</Properties>
</file>