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0"/>
        <w:tabs>
          <w:tab w:val="center" w:pos="7360"/>
          <w:tab w:val="clear" w:pos="210"/>
          <w:tab w:val="clear" w:pos="4620"/>
        </w:tabs>
        <w:spacing w:before="120" w:after="120"/>
        <w:ind w:firstLine="562"/>
        <w:jc w:val="left"/>
        <w:rPr>
          <w:rFonts w:ascii="宋体" w:hAnsi="宋体" w:eastAsia="宋体" w:cs="宋体"/>
        </w:rPr>
      </w:pPr>
      <w:bookmarkStart w:id="6" w:name="_GoBack"/>
      <w:bookmarkStart w:id="0" w:name="_Toc420684843_WPSOffice_Level1"/>
      <w:bookmarkStart w:id="1" w:name="_Toc1822427688_WPSOffice_Level1"/>
      <w:bookmarkStart w:id="2" w:name="_Toc393480213"/>
      <w:bookmarkStart w:id="3" w:name="_Toc54267926"/>
      <w:r>
        <w:rPr>
          <w:rFonts w:hint="eastAsia" w:ascii="宋体" w:hAnsi="宋体" w:eastAsia="宋体" w:cs="宋体"/>
          <w:bCs/>
          <w:kern w:val="0"/>
          <w:szCs w:val="28"/>
        </w:rPr>
        <w:t>A105080</w:t>
      </w:r>
      <w:bookmarkEnd w:id="6"/>
      <w:r>
        <w:rPr>
          <w:rFonts w:hint="eastAsia" w:ascii="宋体" w:hAnsi="宋体" w:eastAsia="宋体" w:cs="宋体"/>
          <w:bCs/>
          <w:kern w:val="0"/>
          <w:szCs w:val="28"/>
        </w:rPr>
        <w:tab/>
      </w:r>
      <w:r>
        <w:rPr>
          <w:rFonts w:hint="eastAsia" w:ascii="宋体" w:hAnsi="宋体" w:eastAsia="宋体" w:cs="宋体"/>
          <w:bCs/>
          <w:kern w:val="0"/>
          <w:szCs w:val="28"/>
        </w:rPr>
        <w:t>资产折旧、摊销及纳税调整明细表</w:t>
      </w:r>
      <w:bookmarkEnd w:id="0"/>
      <w:bookmarkEnd w:id="1"/>
    </w:p>
    <w:p>
      <w:pPr>
        <w:pStyle w:val="92"/>
        <w:ind w:firstLine="0" w:firstLineChars="0"/>
        <w:rPr>
          <w:rFonts w:ascii="宋体" w:hAnsi="宋体" w:eastAsia="宋体" w:cs="宋体"/>
        </w:rPr>
      </w:pPr>
    </w:p>
    <w:tbl>
      <w:tblPr>
        <w:tblStyle w:val="96"/>
        <w:tblW w:w="14610" w:type="dxa"/>
        <w:tblInd w:w="-355" w:type="dxa"/>
        <w:tblLayout w:type="autofit"/>
        <w:tblCellMar>
          <w:top w:w="59" w:type="dxa"/>
          <w:left w:w="108" w:type="dxa"/>
          <w:bottom w:w="0" w:type="dxa"/>
          <w:right w:w="109" w:type="dxa"/>
        </w:tblCellMar>
      </w:tblPr>
      <w:tblGrid>
        <w:gridCol w:w="616"/>
        <w:gridCol w:w="900"/>
        <w:gridCol w:w="4368"/>
        <w:gridCol w:w="745"/>
        <w:gridCol w:w="913"/>
        <w:gridCol w:w="1075"/>
        <w:gridCol w:w="791"/>
        <w:gridCol w:w="1075"/>
        <w:gridCol w:w="1075"/>
        <w:gridCol w:w="1078"/>
        <w:gridCol w:w="1075"/>
        <w:gridCol w:w="899"/>
      </w:tblGrid>
      <w:tr>
        <w:tblPrEx>
          <w:tblCellMar>
            <w:top w:w="59" w:type="dxa"/>
            <w:left w:w="108" w:type="dxa"/>
            <w:bottom w:w="0" w:type="dxa"/>
            <w:right w:w="109" w:type="dxa"/>
          </w:tblCellMar>
        </w:tblPrEx>
        <w:trPr>
          <w:trHeight w:val="350" w:hRule="atLeast"/>
        </w:trPr>
        <w:tc>
          <w:tcPr>
            <w:tcW w:w="616" w:type="dxa"/>
            <w:vMerge w:val="restart"/>
            <w:tcBorders>
              <w:top w:val="single" w:color="000000" w:sz="12" w:space="0"/>
              <w:left w:val="single" w:color="000000" w:sz="12" w:space="0"/>
              <w:bottom w:val="single" w:color="000000" w:sz="4" w:space="0"/>
              <w:right w:val="single" w:color="000000" w:sz="4" w:space="0"/>
            </w:tcBorders>
            <w:vAlign w:val="center"/>
          </w:tcPr>
          <w:p>
            <w:pPr>
              <w:spacing w:after="0" w:line="259" w:lineRule="auto"/>
              <w:ind w:left="0" w:firstLine="0"/>
              <w:jc w:val="both"/>
            </w:pPr>
            <w:r>
              <w:rPr>
                <w:sz w:val="20"/>
              </w:rPr>
              <w:t>行次</w:t>
            </w:r>
          </w:p>
        </w:tc>
        <w:tc>
          <w:tcPr>
            <w:tcW w:w="5268" w:type="dxa"/>
            <w:gridSpan w:val="2"/>
            <w:vMerge w:val="restart"/>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1" w:firstLine="0"/>
              <w:jc w:val="center"/>
            </w:pPr>
            <w:r>
              <w:rPr>
                <w:sz w:val="20"/>
              </w:rPr>
              <w:t>项目</w:t>
            </w:r>
          </w:p>
        </w:tc>
        <w:tc>
          <w:tcPr>
            <w:tcW w:w="2733" w:type="dxa"/>
            <w:gridSpan w:val="3"/>
            <w:tcBorders>
              <w:top w:val="single" w:color="000000" w:sz="12" w:space="0"/>
              <w:left w:val="single" w:color="000000" w:sz="4" w:space="0"/>
              <w:bottom w:val="single" w:color="000000" w:sz="4" w:space="0"/>
              <w:right w:val="single" w:color="000000" w:sz="4" w:space="0"/>
            </w:tcBorders>
          </w:tcPr>
          <w:p>
            <w:pPr>
              <w:spacing w:after="0" w:line="259" w:lineRule="auto"/>
              <w:ind w:left="0" w:right="2" w:firstLine="0"/>
              <w:jc w:val="center"/>
            </w:pPr>
            <w:r>
              <w:rPr>
                <w:sz w:val="20"/>
              </w:rPr>
              <w:t>账载金额</w:t>
            </w:r>
          </w:p>
        </w:tc>
        <w:tc>
          <w:tcPr>
            <w:tcW w:w="5094" w:type="dxa"/>
            <w:gridSpan w:val="5"/>
            <w:tcBorders>
              <w:top w:val="single" w:color="000000" w:sz="12" w:space="0"/>
              <w:left w:val="single" w:color="000000" w:sz="4" w:space="0"/>
              <w:bottom w:val="single" w:color="000000" w:sz="4" w:space="0"/>
              <w:right w:val="single" w:color="000000" w:sz="4" w:space="0"/>
            </w:tcBorders>
          </w:tcPr>
          <w:p>
            <w:pPr>
              <w:spacing w:after="0" w:line="259" w:lineRule="auto"/>
              <w:ind w:left="0" w:right="1" w:firstLine="0"/>
              <w:jc w:val="center"/>
            </w:pPr>
            <w:r>
              <w:rPr>
                <w:sz w:val="20"/>
              </w:rPr>
              <w:t>税收金额</w:t>
            </w:r>
          </w:p>
        </w:tc>
        <w:tc>
          <w:tcPr>
            <w:tcW w:w="899" w:type="dxa"/>
            <w:vMerge w:val="restart"/>
            <w:tcBorders>
              <w:top w:val="single" w:color="000000" w:sz="12" w:space="0"/>
              <w:left w:val="single" w:color="000000" w:sz="4" w:space="0"/>
              <w:bottom w:val="single" w:color="000000" w:sz="4" w:space="0"/>
              <w:right w:val="single" w:color="000000" w:sz="12" w:space="0"/>
            </w:tcBorders>
            <w:vAlign w:val="center"/>
          </w:tcPr>
          <w:p>
            <w:pPr>
              <w:spacing w:after="0" w:line="259" w:lineRule="auto"/>
              <w:ind w:left="0" w:firstLine="0"/>
              <w:jc w:val="center"/>
            </w:pPr>
            <w:r>
              <w:rPr>
                <w:sz w:val="20"/>
              </w:rPr>
              <w:t>纳税调整金额</w:t>
            </w:r>
          </w:p>
        </w:tc>
      </w:tr>
      <w:tr>
        <w:tblPrEx>
          <w:tblCellMar>
            <w:top w:w="59" w:type="dxa"/>
            <w:left w:w="108" w:type="dxa"/>
            <w:bottom w:w="0" w:type="dxa"/>
            <w:right w:w="109" w:type="dxa"/>
          </w:tblCellMar>
        </w:tblPrEx>
        <w:trPr>
          <w:trHeight w:val="2277" w:hRule="atLeast"/>
        </w:trPr>
        <w:tc>
          <w:tcPr>
            <w:tcW w:w="0" w:type="auto"/>
            <w:vMerge w:val="continue"/>
            <w:tcBorders>
              <w:top w:val="nil"/>
              <w:left w:val="single" w:color="000000" w:sz="12" w:space="0"/>
              <w:bottom w:val="nil"/>
              <w:right w:val="single" w:color="000000" w:sz="4" w:space="0"/>
            </w:tcBorders>
          </w:tcPr>
          <w:p>
            <w:pPr>
              <w:spacing w:after="160" w:line="259" w:lineRule="auto"/>
              <w:ind w:left="0" w:firstLine="0"/>
            </w:pPr>
          </w:p>
        </w:tc>
        <w:tc>
          <w:tcPr>
            <w:tcW w:w="0" w:type="auto"/>
            <w:gridSpan w:val="2"/>
            <w:vMerge w:val="continue"/>
            <w:tcBorders>
              <w:top w:val="nil"/>
              <w:left w:val="single" w:color="000000" w:sz="4" w:space="0"/>
              <w:bottom w:val="nil"/>
              <w:right w:val="single" w:color="000000" w:sz="4" w:space="0"/>
            </w:tcBorders>
          </w:tcPr>
          <w:p>
            <w:pPr>
              <w:spacing w:after="160" w:line="259" w:lineRule="auto"/>
              <w:ind w:left="0" w:firstLine="0"/>
            </w:pPr>
          </w:p>
        </w:tc>
        <w:tc>
          <w:tcPr>
            <w:tcW w:w="74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资产原值</w:t>
            </w:r>
          </w:p>
        </w:tc>
        <w:tc>
          <w:tcPr>
            <w:tcW w:w="9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本年折旧、摊销额</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40" w:line="259" w:lineRule="auto"/>
              <w:ind w:left="128" w:firstLine="0"/>
            </w:pPr>
            <w:r>
              <w:rPr>
                <w:sz w:val="20"/>
              </w:rPr>
              <w:t>累计折</w:t>
            </w:r>
          </w:p>
          <w:p>
            <w:pPr>
              <w:spacing w:after="0" w:line="259" w:lineRule="auto"/>
              <w:ind w:left="0" w:firstLine="0"/>
              <w:jc w:val="center"/>
            </w:pPr>
            <w:r>
              <w:rPr>
                <w:sz w:val="20"/>
              </w:rPr>
              <w:t>旧、摊销额</w:t>
            </w:r>
          </w:p>
        </w:tc>
        <w:tc>
          <w:tcPr>
            <w:tcW w:w="79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资产计税基础</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40" w:line="259" w:lineRule="auto"/>
              <w:ind w:left="130" w:firstLine="0"/>
            </w:pPr>
            <w:r>
              <w:rPr>
                <w:sz w:val="20"/>
              </w:rPr>
              <w:t>税收折</w:t>
            </w:r>
          </w:p>
          <w:p>
            <w:pPr>
              <w:spacing w:after="0" w:line="259" w:lineRule="auto"/>
              <w:ind w:left="0" w:firstLine="0"/>
              <w:jc w:val="center"/>
            </w:pPr>
            <w:r>
              <w:rPr>
                <w:sz w:val="20"/>
              </w:rPr>
              <w:t>旧、摊销额</w:t>
            </w:r>
          </w:p>
        </w:tc>
        <w:tc>
          <w:tcPr>
            <w:tcW w:w="107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0"/>
              </w:rPr>
              <w:t>享受加速折旧政策的资产按税收一般规定计算的折旧、摊销额</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加速折旧、摊销统计额</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40" w:line="259" w:lineRule="auto"/>
              <w:ind w:left="130" w:firstLine="0"/>
            </w:pPr>
            <w:r>
              <w:rPr>
                <w:sz w:val="20"/>
              </w:rPr>
              <w:t>累计折</w:t>
            </w:r>
          </w:p>
          <w:p>
            <w:pPr>
              <w:spacing w:after="0" w:line="259" w:lineRule="auto"/>
              <w:ind w:left="0" w:firstLine="0"/>
              <w:jc w:val="center"/>
            </w:pPr>
            <w:r>
              <w:rPr>
                <w:sz w:val="20"/>
              </w:rPr>
              <w:t>旧、摊销额</w:t>
            </w:r>
          </w:p>
        </w:tc>
        <w:tc>
          <w:tcPr>
            <w:tcW w:w="0" w:type="auto"/>
            <w:vMerge w:val="continue"/>
            <w:tcBorders>
              <w:top w:val="nil"/>
              <w:left w:val="single" w:color="000000" w:sz="4" w:space="0"/>
              <w:bottom w:val="single" w:color="000000" w:sz="4" w:space="0"/>
              <w:right w:val="single" w:color="000000" w:sz="12" w:space="0"/>
            </w:tcBorders>
          </w:tcPr>
          <w:p>
            <w:pPr>
              <w:spacing w:after="160" w:line="259" w:lineRule="auto"/>
              <w:ind w:left="0" w:firstLine="0"/>
            </w:pPr>
          </w:p>
        </w:tc>
      </w:tr>
      <w:tr>
        <w:tblPrEx>
          <w:tblCellMar>
            <w:top w:w="59" w:type="dxa"/>
            <w:left w:w="108" w:type="dxa"/>
            <w:bottom w:w="0" w:type="dxa"/>
            <w:right w:w="109" w:type="dxa"/>
          </w:tblCellMar>
        </w:tblPrEx>
        <w:trPr>
          <w:trHeight w:val="360" w:hRule="atLeast"/>
        </w:trPr>
        <w:tc>
          <w:tcPr>
            <w:tcW w:w="0" w:type="auto"/>
            <w:vMerge w:val="continue"/>
            <w:tcBorders>
              <w:top w:val="nil"/>
              <w:left w:val="single" w:color="000000" w:sz="12" w:space="0"/>
              <w:bottom w:val="single" w:color="000000" w:sz="4" w:space="0"/>
              <w:right w:val="single" w:color="000000" w:sz="4" w:space="0"/>
            </w:tcBorders>
          </w:tcPr>
          <w:p>
            <w:pPr>
              <w:spacing w:after="160" w:line="259" w:lineRule="auto"/>
              <w:ind w:left="0" w:firstLine="0"/>
            </w:pPr>
          </w:p>
        </w:tc>
        <w:tc>
          <w:tcPr>
            <w:tcW w:w="0" w:type="auto"/>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74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0"/>
              </w:rPr>
              <w:t>1</w:t>
            </w:r>
          </w:p>
        </w:tc>
        <w:tc>
          <w:tcPr>
            <w:tcW w:w="9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0"/>
              </w:rPr>
              <w:t>2</w:t>
            </w:r>
          </w:p>
        </w:tc>
        <w:tc>
          <w:tcPr>
            <w:tcW w:w="1075"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0"/>
              </w:rPr>
              <w:t>3</w:t>
            </w:r>
          </w:p>
        </w:tc>
        <w:tc>
          <w:tcPr>
            <w:tcW w:w="79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0"/>
              </w:rPr>
              <w:t>4</w:t>
            </w:r>
          </w:p>
        </w:tc>
        <w:tc>
          <w:tcPr>
            <w:tcW w:w="1075"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0"/>
              </w:rPr>
              <w:t>5</w:t>
            </w:r>
          </w:p>
        </w:tc>
        <w:tc>
          <w:tcPr>
            <w:tcW w:w="107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0"/>
              </w:rPr>
              <w:t>6</w:t>
            </w:r>
          </w:p>
        </w:tc>
        <w:tc>
          <w:tcPr>
            <w:tcW w:w="1078" w:type="dxa"/>
            <w:tcBorders>
              <w:top w:val="single" w:color="000000" w:sz="4" w:space="0"/>
              <w:left w:val="single" w:color="000000" w:sz="4" w:space="0"/>
              <w:bottom w:val="single" w:color="000000" w:sz="4" w:space="0"/>
              <w:right w:val="single" w:color="000000" w:sz="4" w:space="0"/>
            </w:tcBorders>
          </w:tcPr>
          <w:p>
            <w:pPr>
              <w:spacing w:after="0" w:line="259" w:lineRule="auto"/>
              <w:ind w:left="32" w:firstLine="0"/>
            </w:pPr>
            <w:r>
              <w:rPr>
                <w:sz w:val="20"/>
              </w:rPr>
              <w:t>7（5-6）</w:t>
            </w:r>
          </w:p>
        </w:tc>
        <w:tc>
          <w:tcPr>
            <w:tcW w:w="1075"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0"/>
              </w:rPr>
              <w:t>8</w:t>
            </w:r>
          </w:p>
        </w:tc>
        <w:tc>
          <w:tcPr>
            <w:tcW w:w="899" w:type="dxa"/>
            <w:tcBorders>
              <w:top w:val="single" w:color="000000" w:sz="4" w:space="0"/>
              <w:left w:val="single" w:color="000000" w:sz="4" w:space="0"/>
              <w:bottom w:val="single" w:color="000000" w:sz="4" w:space="0"/>
              <w:right w:val="single" w:color="000000" w:sz="12" w:space="0"/>
            </w:tcBorders>
          </w:tcPr>
          <w:p>
            <w:pPr>
              <w:spacing w:after="0" w:line="259" w:lineRule="auto"/>
              <w:ind w:left="41" w:firstLine="0"/>
            </w:pPr>
            <w:r>
              <w:rPr>
                <w:sz w:val="20"/>
              </w:rPr>
              <w:t>9(2-5)</w:t>
            </w:r>
          </w:p>
        </w:tc>
      </w:tr>
      <w:tr>
        <w:tblPrEx>
          <w:tblCellMar>
            <w:top w:w="59"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1</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一、固定资产（2+3+4+5+6+7）</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59"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所有固定资产</w:t>
            </w: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（一）房屋、建筑物</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59" w:type="dxa"/>
            <w:left w:w="108" w:type="dxa"/>
            <w:bottom w:w="0" w:type="dxa"/>
            <w:right w:w="10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sz w:val="20"/>
              </w:rPr>
              <w:t>（二）飞机、火车、轮船、机器、机械和其他生产设备</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59" w:type="dxa"/>
            <w:left w:w="108" w:type="dxa"/>
            <w:bottom w:w="0" w:type="dxa"/>
            <w:right w:w="10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4</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both"/>
            </w:pPr>
            <w:r>
              <w:rPr>
                <w:sz w:val="20"/>
              </w:rPr>
              <w:t>（三）与生产经营活动有关的器具、工具、家具等</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59"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5</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（四）飞机、火车、轮船以外的运输工具</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59"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6</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（五）电子设备</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59"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7</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（六）其他</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59" w:type="dxa"/>
            <w:left w:w="108" w:type="dxa"/>
            <w:bottom w:w="0" w:type="dxa"/>
            <w:right w:w="10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8</w:t>
            </w:r>
          </w:p>
        </w:tc>
        <w:tc>
          <w:tcPr>
            <w:tcW w:w="900"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0"/>
              </w:rPr>
              <w:t>其中：享受固定资产加速折旧及一次性扣除政策的资产加速折</w:t>
            </w:r>
          </w:p>
        </w:tc>
        <w:tc>
          <w:tcPr>
            <w:tcW w:w="4368"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sz w:val="20"/>
              </w:rPr>
              <w:t>（一）重要行业固定资产加速折旧（不含一次性扣除）</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r>
        <w:tblPrEx>
          <w:tblCellMar>
            <w:top w:w="59"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9</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（二）其他行业研发设备加速折旧</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r>
        <w:tblPrEx>
          <w:tblCellMar>
            <w:top w:w="59" w:type="dxa"/>
            <w:left w:w="108" w:type="dxa"/>
            <w:bottom w:w="0" w:type="dxa"/>
            <w:right w:w="10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10</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tcPr>
          <w:p>
            <w:pPr>
              <w:spacing w:after="40" w:line="259" w:lineRule="auto"/>
              <w:ind w:left="1" w:firstLine="0"/>
            </w:pPr>
            <w:r>
              <w:rPr>
                <w:sz w:val="20"/>
              </w:rPr>
              <w:t>（三）特定地区企业固定资产加速折旧</w:t>
            </w:r>
          </w:p>
          <w:p>
            <w:pPr>
              <w:spacing w:after="0" w:line="259" w:lineRule="auto"/>
              <w:ind w:left="1" w:firstLine="0"/>
            </w:pPr>
            <w:r>
              <w:rPr>
                <w:sz w:val="20"/>
              </w:rPr>
              <w:t>（10.1+10.2）</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r>
        <w:tblPrEx>
          <w:tblCellMar>
            <w:top w:w="59" w:type="dxa"/>
            <w:left w:w="108" w:type="dxa"/>
            <w:bottom w:w="0" w:type="dxa"/>
            <w:right w:w="109" w:type="dxa"/>
          </w:tblCellMar>
        </w:tblPrEx>
        <w:trPr>
          <w:trHeight w:val="46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10.1</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1.海南自由贸易港企业固定资产加速折旧</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bl>
    <w:p>
      <w:pPr>
        <w:spacing w:after="0" w:line="259" w:lineRule="auto"/>
        <w:ind w:left="-1440" w:right="15398" w:firstLine="0"/>
      </w:pPr>
    </w:p>
    <w:tbl>
      <w:tblPr>
        <w:tblStyle w:val="96"/>
        <w:tblW w:w="14610" w:type="dxa"/>
        <w:tblInd w:w="-355" w:type="dxa"/>
        <w:tblLayout w:type="autofit"/>
        <w:tblCellMar>
          <w:top w:w="28" w:type="dxa"/>
          <w:left w:w="107" w:type="dxa"/>
          <w:bottom w:w="0" w:type="dxa"/>
          <w:right w:w="9" w:type="dxa"/>
        </w:tblCellMar>
      </w:tblPr>
      <w:tblGrid>
        <w:gridCol w:w="616"/>
        <w:gridCol w:w="900"/>
        <w:gridCol w:w="1468"/>
        <w:gridCol w:w="2900"/>
        <w:gridCol w:w="745"/>
        <w:gridCol w:w="913"/>
        <w:gridCol w:w="1075"/>
        <w:gridCol w:w="791"/>
        <w:gridCol w:w="1075"/>
        <w:gridCol w:w="1075"/>
        <w:gridCol w:w="1078"/>
        <w:gridCol w:w="1075"/>
        <w:gridCol w:w="899"/>
      </w:tblGrid>
      <w:tr>
        <w:tblPrEx>
          <w:tblCellMar>
            <w:top w:w="28" w:type="dxa"/>
            <w:left w:w="107" w:type="dxa"/>
            <w:bottom w:w="0" w:type="dxa"/>
            <w:right w:w="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10.2</w:t>
            </w:r>
          </w:p>
        </w:tc>
        <w:tc>
          <w:tcPr>
            <w:tcW w:w="900"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0"/>
              </w:rPr>
              <w:t>旧额大于一般折旧额的部分</w:t>
            </w:r>
          </w:p>
        </w:tc>
        <w:tc>
          <w:tcPr>
            <w:tcW w:w="43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rPr>
                <w:sz w:val="20"/>
              </w:rPr>
              <w:t>2.横琴粤澳深度合作区企业固定资产加速折旧</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11</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tcPr>
          <w:p>
            <w:pPr>
              <w:spacing w:after="40" w:line="259" w:lineRule="auto"/>
              <w:ind w:left="2" w:firstLine="0"/>
            </w:pPr>
            <w:r>
              <w:rPr>
                <w:sz w:val="20"/>
              </w:rPr>
              <w:t>（四）500万元以下设备器具一次性扣除</w:t>
            </w:r>
          </w:p>
          <w:p>
            <w:pPr>
              <w:spacing w:after="0" w:line="259" w:lineRule="auto"/>
              <w:ind w:left="2" w:firstLine="0"/>
            </w:pPr>
            <w:r>
              <w:rPr>
                <w:sz w:val="20"/>
              </w:rPr>
              <w:t>（11.1+11.2）</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11.1</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firstLine="0"/>
            </w:pPr>
            <w:r>
              <w:rPr>
                <w:sz w:val="20"/>
              </w:rPr>
              <w:t>1.高新技术企业2022年第四季度(10月-12月）购置单价500万元以下设备器具一次性扣除</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11.2</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tcPr>
          <w:p>
            <w:pPr>
              <w:spacing w:after="42" w:line="259" w:lineRule="auto"/>
              <w:ind w:left="2" w:firstLine="0"/>
            </w:pPr>
            <w:r>
              <w:rPr>
                <w:sz w:val="20"/>
              </w:rPr>
              <w:t>2.购置单价500万元以下设备器具一次性扣除</w:t>
            </w:r>
          </w:p>
          <w:p>
            <w:pPr>
              <w:spacing w:after="0" w:line="259" w:lineRule="auto"/>
              <w:ind w:left="2" w:firstLine="0"/>
            </w:pPr>
            <w:r>
              <w:rPr>
                <w:sz w:val="20"/>
              </w:rPr>
              <w:t>(不包含高新技术企业2022年第四季度购置)</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12</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tcPr>
          <w:p>
            <w:pPr>
              <w:spacing w:after="40" w:line="259" w:lineRule="auto"/>
              <w:ind w:left="2" w:firstLine="0"/>
            </w:pPr>
            <w:r>
              <w:rPr>
                <w:sz w:val="20"/>
              </w:rPr>
              <w:t>（五）500万元以上设备器具一次性扣除</w:t>
            </w:r>
          </w:p>
          <w:p>
            <w:pPr>
              <w:spacing w:after="0" w:line="259" w:lineRule="auto"/>
              <w:ind w:left="2" w:firstLine="0"/>
            </w:pPr>
            <w:r>
              <w:rPr>
                <w:sz w:val="20"/>
              </w:rPr>
              <w:t>（12.1+12.2+12.3+12.4）</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12.1</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1468"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98" w:lineRule="auto"/>
              <w:ind w:left="0" w:firstLine="0"/>
              <w:jc w:val="center"/>
            </w:pPr>
            <w:r>
              <w:rPr>
                <w:sz w:val="20"/>
              </w:rPr>
              <w:t>中小微企业购置单价500万</w:t>
            </w:r>
          </w:p>
          <w:p>
            <w:pPr>
              <w:spacing w:after="0" w:line="259" w:lineRule="auto"/>
              <w:ind w:left="0" w:right="25" w:firstLine="0"/>
              <w:jc w:val="center"/>
            </w:pPr>
            <w:r>
              <w:rPr>
                <w:sz w:val="20"/>
              </w:rPr>
              <w:t>元以上设备器具</w:t>
            </w:r>
          </w:p>
        </w:tc>
        <w:tc>
          <w:tcPr>
            <w:tcW w:w="290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sz w:val="20"/>
              </w:rPr>
              <w:t>1.最低折旧年限为3年的设备器具一次性扣除</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12.2</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290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sz w:val="20"/>
              </w:rPr>
              <w:t>2.最低折旧年限为4、5年的设备器具50%部分一次性扣除</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12.3</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90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sz w:val="20"/>
              </w:rPr>
              <w:t>3.最低折旧年限为10年的设备器具50%部分一次性扣除</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12.4</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firstLine="0"/>
            </w:pPr>
            <w:r>
              <w:rPr>
                <w:sz w:val="20"/>
              </w:rPr>
              <w:t>4.高新技术企业2022年第四季度（10月-12月）购置单价500万元以上设备器具一次性扣除</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13</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tcPr>
          <w:p>
            <w:pPr>
              <w:spacing w:after="42" w:line="259" w:lineRule="auto"/>
              <w:ind w:left="2" w:firstLine="0"/>
            </w:pPr>
            <w:r>
              <w:rPr>
                <w:sz w:val="20"/>
              </w:rPr>
              <w:t>（六）特定地区企业固定资产一次性扣除</w:t>
            </w:r>
          </w:p>
          <w:p>
            <w:pPr>
              <w:spacing w:after="0" w:line="259" w:lineRule="auto"/>
              <w:ind w:left="2" w:firstLine="0"/>
            </w:pPr>
            <w:r>
              <w:rPr>
                <w:sz w:val="20"/>
              </w:rPr>
              <w:t>（13.1+13.2）</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13.1</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rPr>
                <w:sz w:val="20"/>
              </w:rPr>
              <w:t>1.海南自由贸易港企业固定资产一次性扣除</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13.2</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2" w:right="53" w:firstLine="0"/>
            </w:pPr>
            <w:r>
              <w:rPr>
                <w:sz w:val="20"/>
              </w:rPr>
              <w:t>2.横琴粤澳深度合作区企业固定资产一次性扣除</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14</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rPr>
                <w:sz w:val="20"/>
              </w:rPr>
              <w:t>（七）技术进步、更新换代固定资产加速折旧</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15</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rPr>
                <w:sz w:val="20"/>
              </w:rPr>
              <w:t>（八）常年强震动、高腐蚀固定资产加速折旧</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16</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rPr>
                <w:sz w:val="20"/>
              </w:rPr>
              <w:t>（九）外购软件加速折旧</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r>
        <w:tblPrEx>
          <w:tblCellMar>
            <w:top w:w="28" w:type="dxa"/>
            <w:left w:w="107" w:type="dxa"/>
            <w:bottom w:w="0" w:type="dxa"/>
            <w:right w:w="9" w:type="dxa"/>
          </w:tblCellMar>
        </w:tblPrEx>
        <w:trPr>
          <w:trHeight w:val="46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1" w:firstLine="0"/>
            </w:pPr>
            <w:r>
              <w:rPr>
                <w:sz w:val="20"/>
              </w:rPr>
              <w:t>17</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43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rPr>
                <w:sz w:val="20"/>
              </w:rPr>
              <w:t>（十）集成电路企业生产设备加速折旧</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101" w:firstLine="0"/>
              <w:jc w:val="center"/>
            </w:pPr>
            <w:r>
              <w:rPr>
                <w:sz w:val="20"/>
              </w:rPr>
              <w:t>*</w:t>
            </w:r>
          </w:p>
        </w:tc>
      </w:tr>
    </w:tbl>
    <w:p>
      <w:pPr>
        <w:spacing w:after="0" w:line="259" w:lineRule="auto"/>
        <w:ind w:left="-1440" w:right="15398" w:firstLine="0"/>
      </w:pPr>
    </w:p>
    <w:tbl>
      <w:tblPr>
        <w:tblStyle w:val="96"/>
        <w:tblW w:w="14610" w:type="dxa"/>
        <w:tblInd w:w="-355" w:type="dxa"/>
        <w:tblLayout w:type="autofit"/>
        <w:tblCellMar>
          <w:top w:w="67" w:type="dxa"/>
          <w:left w:w="108" w:type="dxa"/>
          <w:bottom w:w="0" w:type="dxa"/>
          <w:right w:w="109" w:type="dxa"/>
        </w:tblCellMar>
      </w:tblPr>
      <w:tblGrid>
        <w:gridCol w:w="616"/>
        <w:gridCol w:w="900"/>
        <w:gridCol w:w="4368"/>
        <w:gridCol w:w="745"/>
        <w:gridCol w:w="913"/>
        <w:gridCol w:w="1075"/>
        <w:gridCol w:w="791"/>
        <w:gridCol w:w="1075"/>
        <w:gridCol w:w="1075"/>
        <w:gridCol w:w="1078"/>
        <w:gridCol w:w="1075"/>
        <w:gridCol w:w="899"/>
      </w:tblGrid>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18</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二、生产性生物资产（19+20）</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19</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0" w:firstLine="0"/>
            </w:pPr>
            <w:r>
              <w:rPr>
                <w:sz w:val="20"/>
              </w:rPr>
              <w:t>（一）林木类</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20</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0" w:firstLine="0"/>
            </w:pPr>
            <w:r>
              <w:rPr>
                <w:sz w:val="20"/>
              </w:rPr>
              <w:t>（二）畜类</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21</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三、无形资产（22+23+24+25+26+27+28+29）</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22</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所有无形资产</w:t>
            </w: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（一）专利权</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23</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（二）商标权</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24</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（三）著作权</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25</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（四）土地使用权</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26</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（五）非专利技术</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27</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（六）特许权使用费</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28</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（七）软件</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29</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（八）其他</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30</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0"/>
              </w:rPr>
              <w:t>其中：享受无形资产加速摊销及一次性摊销政策的资产加速摊销额大于一般摊销额的部分</w:t>
            </w: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（一）企业外购软件加速摊销</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r>
        <w:tblPrEx>
          <w:tblCellMar>
            <w:top w:w="67" w:type="dxa"/>
            <w:left w:w="108" w:type="dxa"/>
            <w:bottom w:w="0" w:type="dxa"/>
            <w:right w:w="10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31</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tcPr>
          <w:p>
            <w:pPr>
              <w:spacing w:after="40" w:line="259" w:lineRule="auto"/>
              <w:ind w:left="1" w:firstLine="0"/>
            </w:pPr>
            <w:r>
              <w:rPr>
                <w:sz w:val="20"/>
              </w:rPr>
              <w:t>（二）特定地区企业无形资产加速摊销</w:t>
            </w:r>
          </w:p>
          <w:p>
            <w:pPr>
              <w:spacing w:after="0" w:line="259" w:lineRule="auto"/>
              <w:ind w:left="1" w:firstLine="0"/>
            </w:pPr>
            <w:r>
              <w:rPr>
                <w:sz w:val="20"/>
              </w:rPr>
              <w:t>（31.1+31.2）</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31.1</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1.海南自由贸易港企业无形资产加速摊销</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31.2</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2.横琴粤澳深度合作区企业无形资产加速摊销</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r>
        <w:tblPrEx>
          <w:tblCellMar>
            <w:top w:w="67" w:type="dxa"/>
            <w:left w:w="108" w:type="dxa"/>
            <w:bottom w:w="0" w:type="dxa"/>
            <w:right w:w="109" w:type="dxa"/>
          </w:tblCellMar>
        </w:tblPrEx>
        <w:trPr>
          <w:trHeight w:val="652"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32</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tcPr>
          <w:p>
            <w:pPr>
              <w:spacing w:after="42" w:line="259" w:lineRule="auto"/>
              <w:ind w:left="1" w:firstLine="0"/>
            </w:pPr>
            <w:r>
              <w:rPr>
                <w:sz w:val="20"/>
              </w:rPr>
              <w:t>（三）特定地区企业无形资产一次性摊销</w:t>
            </w:r>
          </w:p>
          <w:p>
            <w:pPr>
              <w:spacing w:after="0" w:line="259" w:lineRule="auto"/>
              <w:ind w:left="1" w:firstLine="0"/>
            </w:pPr>
            <w:r>
              <w:rPr>
                <w:sz w:val="20"/>
              </w:rPr>
              <w:t>（32.1+32.2）</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r>
        <w:tblPrEx>
          <w:tblCellMar>
            <w:top w:w="67" w:type="dxa"/>
            <w:left w:w="108" w:type="dxa"/>
            <w:bottom w:w="0" w:type="dxa"/>
            <w:right w:w="109"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32.1</w:t>
            </w:r>
          </w:p>
        </w:tc>
        <w:tc>
          <w:tcPr>
            <w:tcW w:w="0" w:type="auto"/>
            <w:vMerge w:val="continue"/>
            <w:tcBorders>
              <w:top w:val="nil"/>
              <w:left w:val="single" w:color="000000" w:sz="4" w:space="0"/>
              <w:bottom w:val="nil"/>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1.海南自由贸易港企业无形资产一次性摊销</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r>
        <w:tblPrEx>
          <w:tblCellMar>
            <w:top w:w="67" w:type="dxa"/>
            <w:left w:w="108" w:type="dxa"/>
            <w:bottom w:w="0" w:type="dxa"/>
            <w:right w:w="109" w:type="dxa"/>
          </w:tblCellMar>
        </w:tblPrEx>
        <w:trPr>
          <w:trHeight w:val="650"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32.2</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4368"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pPr>
            <w:r>
              <w:rPr>
                <w:sz w:val="20"/>
              </w:rPr>
              <w:t>2.横琴粤澳深度合作区企业无形资产一次性摊销</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vAlign w:val="center"/>
          </w:tcPr>
          <w:p>
            <w:pPr>
              <w:spacing w:after="0" w:line="259" w:lineRule="auto"/>
              <w:ind w:left="0" w:right="2" w:firstLine="0"/>
              <w:jc w:val="center"/>
            </w:pPr>
            <w:r>
              <w:rPr>
                <w:sz w:val="20"/>
              </w:rPr>
              <w:t>*</w:t>
            </w:r>
          </w:p>
        </w:tc>
      </w:tr>
    </w:tbl>
    <w:p>
      <w:pPr>
        <w:spacing w:after="0" w:line="259" w:lineRule="auto"/>
        <w:ind w:left="-1440" w:right="15398" w:firstLine="0"/>
      </w:pPr>
    </w:p>
    <w:tbl>
      <w:tblPr>
        <w:tblStyle w:val="96"/>
        <w:tblW w:w="14610" w:type="dxa"/>
        <w:tblInd w:w="-355" w:type="dxa"/>
        <w:tblLayout w:type="autofit"/>
        <w:tblCellMar>
          <w:top w:w="66" w:type="dxa"/>
          <w:left w:w="108" w:type="dxa"/>
          <w:bottom w:w="0" w:type="dxa"/>
          <w:right w:w="115" w:type="dxa"/>
        </w:tblCellMar>
      </w:tblPr>
      <w:tblGrid>
        <w:gridCol w:w="616"/>
        <w:gridCol w:w="900"/>
        <w:gridCol w:w="4368"/>
        <w:gridCol w:w="745"/>
        <w:gridCol w:w="913"/>
        <w:gridCol w:w="1075"/>
        <w:gridCol w:w="791"/>
        <w:gridCol w:w="1075"/>
        <w:gridCol w:w="1075"/>
        <w:gridCol w:w="1078"/>
        <w:gridCol w:w="1075"/>
        <w:gridCol w:w="899"/>
      </w:tblGrid>
      <w:tr>
        <w:tblPrEx>
          <w:tblCellMar>
            <w:top w:w="66" w:type="dxa"/>
            <w:left w:w="108" w:type="dxa"/>
            <w:bottom w:w="0" w:type="dxa"/>
            <w:right w:w="115"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33</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四、长期待摊费用（34+35+36+37+38）</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6" w:type="dxa"/>
            <w:left w:w="108" w:type="dxa"/>
            <w:bottom w:w="0" w:type="dxa"/>
            <w:right w:w="115"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34</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0" w:firstLine="0"/>
            </w:pPr>
            <w:r>
              <w:rPr>
                <w:sz w:val="20"/>
              </w:rPr>
              <w:t>（一）已足额提取折旧的固定资产的改建支出</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6" w:type="dxa"/>
            <w:left w:w="108" w:type="dxa"/>
            <w:bottom w:w="0" w:type="dxa"/>
            <w:right w:w="115"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35</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0" w:firstLine="0"/>
            </w:pPr>
            <w:r>
              <w:rPr>
                <w:sz w:val="20"/>
              </w:rPr>
              <w:t>（二）租入固定资产的改建支出</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6" w:type="dxa"/>
            <w:left w:w="108" w:type="dxa"/>
            <w:bottom w:w="0" w:type="dxa"/>
            <w:right w:w="115"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36</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0" w:firstLine="0"/>
            </w:pPr>
            <w:r>
              <w:rPr>
                <w:sz w:val="20"/>
              </w:rPr>
              <w:t>（三）固定资产的大修理支出</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6" w:type="dxa"/>
            <w:left w:w="108" w:type="dxa"/>
            <w:bottom w:w="0" w:type="dxa"/>
            <w:right w:w="115"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37</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0" w:firstLine="0"/>
            </w:pPr>
            <w:r>
              <w:rPr>
                <w:sz w:val="20"/>
              </w:rPr>
              <w:t>（四）开办费</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6" w:type="dxa"/>
            <w:left w:w="108" w:type="dxa"/>
            <w:bottom w:w="0" w:type="dxa"/>
            <w:right w:w="115"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38</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00" w:firstLine="0"/>
            </w:pPr>
            <w:r>
              <w:rPr>
                <w:sz w:val="20"/>
              </w:rPr>
              <w:t>（五）其他</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6" w:type="dxa"/>
            <w:left w:w="108" w:type="dxa"/>
            <w:bottom w:w="0" w:type="dxa"/>
            <w:right w:w="115"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39</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五、油气勘探投资</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6" w:type="dxa"/>
            <w:left w:w="108" w:type="dxa"/>
            <w:bottom w:w="0" w:type="dxa"/>
            <w:right w:w="115"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40</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六、油气开发投资</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jc w:val="center"/>
            </w:pPr>
            <w:r>
              <w:rPr>
                <w:sz w:val="20"/>
              </w:rPr>
              <w:t>*</w:t>
            </w:r>
          </w:p>
        </w:tc>
        <w:tc>
          <w:tcPr>
            <w:tcW w:w="107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 w:firstLine="0"/>
              <w:jc w:val="center"/>
            </w:pPr>
            <w:r>
              <w:rPr>
                <w:sz w:val="20"/>
              </w:rPr>
              <w:t>*</w:t>
            </w: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6" w:type="dxa"/>
            <w:left w:w="108" w:type="dxa"/>
            <w:bottom w:w="0" w:type="dxa"/>
            <w:right w:w="115"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vAlign w:val="center"/>
          </w:tcPr>
          <w:p>
            <w:pPr>
              <w:spacing w:after="0" w:line="259" w:lineRule="auto"/>
              <w:ind w:left="0" w:firstLine="0"/>
            </w:pPr>
            <w:r>
              <w:rPr>
                <w:sz w:val="20"/>
              </w:rPr>
              <w:t>41</w:t>
            </w:r>
          </w:p>
        </w:tc>
        <w:tc>
          <w:tcPr>
            <w:tcW w:w="5268"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rPr>
                <w:sz w:val="20"/>
              </w:rPr>
              <w:t>合计（1+18+21+33+39+40）</w:t>
            </w:r>
          </w:p>
        </w:tc>
        <w:tc>
          <w:tcPr>
            <w:tcW w:w="74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4" w:space="0"/>
              <w:right w:val="single" w:color="000000" w:sz="12" w:space="0"/>
            </w:tcBorders>
          </w:tcPr>
          <w:p>
            <w:pPr>
              <w:spacing w:after="160" w:line="259" w:lineRule="auto"/>
              <w:ind w:left="0" w:firstLine="0"/>
            </w:pPr>
          </w:p>
        </w:tc>
      </w:tr>
      <w:tr>
        <w:tblPrEx>
          <w:tblCellMar>
            <w:top w:w="66" w:type="dxa"/>
            <w:left w:w="108" w:type="dxa"/>
            <w:bottom w:w="0" w:type="dxa"/>
            <w:right w:w="115" w:type="dxa"/>
          </w:tblCellMar>
        </w:tblPrEx>
        <w:trPr>
          <w:trHeight w:val="662" w:hRule="atLeast"/>
        </w:trPr>
        <w:tc>
          <w:tcPr>
            <w:tcW w:w="1516" w:type="dxa"/>
            <w:gridSpan w:val="2"/>
            <w:tcBorders>
              <w:top w:val="single" w:color="000000" w:sz="4" w:space="0"/>
              <w:left w:val="single" w:color="000000" w:sz="12" w:space="0"/>
              <w:bottom w:val="single" w:color="000000" w:sz="12" w:space="0"/>
              <w:right w:val="single" w:color="000000" w:sz="4" w:space="0"/>
            </w:tcBorders>
            <w:vAlign w:val="center"/>
          </w:tcPr>
          <w:p>
            <w:pPr>
              <w:spacing w:after="0" w:line="259" w:lineRule="auto"/>
              <w:ind w:left="0" w:firstLine="0"/>
            </w:pPr>
            <w:r>
              <w:rPr>
                <w:sz w:val="20"/>
              </w:rPr>
              <w:t>附列资料</w:t>
            </w:r>
          </w:p>
        </w:tc>
        <w:tc>
          <w:tcPr>
            <w:tcW w:w="4368" w:type="dxa"/>
            <w:tcBorders>
              <w:top w:val="single" w:color="000000" w:sz="4" w:space="0"/>
              <w:left w:val="single" w:color="000000" w:sz="4" w:space="0"/>
              <w:bottom w:val="single" w:color="000000" w:sz="12" w:space="0"/>
              <w:right w:val="single" w:color="000000" w:sz="4" w:space="0"/>
            </w:tcBorders>
          </w:tcPr>
          <w:p>
            <w:pPr>
              <w:spacing w:after="0" w:line="259" w:lineRule="auto"/>
              <w:ind w:left="1" w:firstLine="0"/>
            </w:pPr>
            <w:r>
              <w:rPr>
                <w:sz w:val="20"/>
              </w:rPr>
              <w:t>全民所有制企业公司制改制资产评估增值政策资产</w:t>
            </w:r>
          </w:p>
        </w:tc>
        <w:tc>
          <w:tcPr>
            <w:tcW w:w="745" w:type="dxa"/>
            <w:tcBorders>
              <w:top w:val="single" w:color="000000" w:sz="4" w:space="0"/>
              <w:left w:val="single" w:color="000000" w:sz="4" w:space="0"/>
              <w:bottom w:val="single" w:color="000000" w:sz="12" w:space="0"/>
              <w:right w:val="single" w:color="000000" w:sz="4" w:space="0"/>
            </w:tcBorders>
          </w:tcPr>
          <w:p>
            <w:pPr>
              <w:spacing w:after="160" w:line="259" w:lineRule="auto"/>
              <w:ind w:left="0" w:firstLine="0"/>
            </w:pPr>
          </w:p>
        </w:tc>
        <w:tc>
          <w:tcPr>
            <w:tcW w:w="913" w:type="dxa"/>
            <w:tcBorders>
              <w:top w:val="single" w:color="000000" w:sz="4" w:space="0"/>
              <w:left w:val="single" w:color="000000" w:sz="4" w:space="0"/>
              <w:bottom w:val="single" w:color="000000" w:sz="12"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12" w:space="0"/>
              <w:right w:val="single" w:color="000000" w:sz="4" w:space="0"/>
            </w:tcBorders>
          </w:tcPr>
          <w:p>
            <w:pPr>
              <w:spacing w:after="160" w:line="259" w:lineRule="auto"/>
              <w:ind w:left="0" w:firstLine="0"/>
            </w:pPr>
          </w:p>
        </w:tc>
        <w:tc>
          <w:tcPr>
            <w:tcW w:w="791" w:type="dxa"/>
            <w:tcBorders>
              <w:top w:val="single" w:color="000000" w:sz="4" w:space="0"/>
              <w:left w:val="single" w:color="000000" w:sz="4" w:space="0"/>
              <w:bottom w:val="single" w:color="000000" w:sz="12"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12" w:space="0"/>
              <w:right w:val="single" w:color="000000" w:sz="4" w:space="0"/>
            </w:tcBorders>
          </w:tcPr>
          <w:p>
            <w:pPr>
              <w:spacing w:after="160" w:line="259" w:lineRule="auto"/>
              <w:ind w:left="0" w:firstLine="0"/>
            </w:pPr>
          </w:p>
        </w:tc>
        <w:tc>
          <w:tcPr>
            <w:tcW w:w="1075" w:type="dxa"/>
            <w:tcBorders>
              <w:top w:val="single" w:color="000000" w:sz="4" w:space="0"/>
              <w:left w:val="single" w:color="000000" w:sz="4" w:space="0"/>
              <w:bottom w:val="single" w:color="000000" w:sz="12" w:space="0"/>
              <w:right w:val="single" w:color="000000" w:sz="4" w:space="0"/>
            </w:tcBorders>
            <w:vAlign w:val="center"/>
          </w:tcPr>
          <w:p>
            <w:pPr>
              <w:spacing w:after="0" w:line="259" w:lineRule="auto"/>
              <w:ind w:left="6" w:firstLine="0"/>
              <w:jc w:val="center"/>
            </w:pPr>
            <w:r>
              <w:rPr>
                <w:sz w:val="20"/>
              </w:rPr>
              <w:t>*</w:t>
            </w:r>
          </w:p>
        </w:tc>
        <w:tc>
          <w:tcPr>
            <w:tcW w:w="1078" w:type="dxa"/>
            <w:tcBorders>
              <w:top w:val="single" w:color="000000" w:sz="4" w:space="0"/>
              <w:left w:val="single" w:color="000000" w:sz="4" w:space="0"/>
              <w:bottom w:val="single" w:color="000000" w:sz="12" w:space="0"/>
              <w:right w:val="single" w:color="000000" w:sz="4" w:space="0"/>
            </w:tcBorders>
            <w:vAlign w:val="center"/>
          </w:tcPr>
          <w:p>
            <w:pPr>
              <w:spacing w:after="0" w:line="259" w:lineRule="auto"/>
              <w:ind w:left="8" w:firstLine="0"/>
              <w:jc w:val="center"/>
            </w:pPr>
            <w:r>
              <w:rPr>
                <w:sz w:val="20"/>
              </w:rPr>
              <w:t>*</w:t>
            </w:r>
          </w:p>
        </w:tc>
        <w:tc>
          <w:tcPr>
            <w:tcW w:w="1075" w:type="dxa"/>
            <w:tcBorders>
              <w:top w:val="single" w:color="000000" w:sz="4" w:space="0"/>
              <w:left w:val="single" w:color="000000" w:sz="4" w:space="0"/>
              <w:bottom w:val="single" w:color="000000" w:sz="12" w:space="0"/>
              <w:right w:val="single" w:color="000000" w:sz="4" w:space="0"/>
            </w:tcBorders>
          </w:tcPr>
          <w:p>
            <w:pPr>
              <w:spacing w:after="160" w:line="259" w:lineRule="auto"/>
              <w:ind w:left="0" w:firstLine="0"/>
            </w:pPr>
          </w:p>
        </w:tc>
        <w:tc>
          <w:tcPr>
            <w:tcW w:w="899" w:type="dxa"/>
            <w:tcBorders>
              <w:top w:val="single" w:color="000000" w:sz="4" w:space="0"/>
              <w:left w:val="single" w:color="000000" w:sz="4" w:space="0"/>
              <w:bottom w:val="single" w:color="000000" w:sz="12" w:space="0"/>
              <w:right w:val="single" w:color="000000" w:sz="12" w:space="0"/>
            </w:tcBorders>
          </w:tcPr>
          <w:p>
            <w:pPr>
              <w:spacing w:after="160" w:line="259" w:lineRule="auto"/>
              <w:ind w:left="0" w:firstLine="0"/>
            </w:pPr>
          </w:p>
        </w:tc>
      </w:tr>
    </w:tbl>
    <w:p>
      <w:pPr>
        <w:sectPr>
          <w:footerReference r:id="rId5" w:type="first"/>
          <w:footerReference r:id="rId3" w:type="default"/>
          <w:footerReference r:id="rId4" w:type="even"/>
          <w:pgSz w:w="16838" w:h="11905" w:orient="landscape"/>
          <w:pgMar w:top="1139" w:right="1440" w:bottom="1273" w:left="1440" w:header="720" w:footer="712" w:gutter="0"/>
          <w:cols w:space="720" w:num="1"/>
        </w:sectPr>
      </w:pPr>
    </w:p>
    <w:p>
      <w:pPr>
        <w:pStyle w:val="92"/>
        <w:ind w:firstLine="480"/>
        <w:rPr>
          <w:rFonts w:ascii="宋体" w:hAnsi="宋体" w:eastAsia="宋体" w:cs="宋体"/>
        </w:rPr>
        <w:sectPr>
          <w:footerReference r:id="rId6" w:type="first"/>
          <w:pgSz w:w="16838" w:h="11906" w:orient="landscape"/>
          <w:pgMar w:top="1134" w:right="1100" w:bottom="1134" w:left="1100" w:header="851" w:footer="680" w:gutter="113"/>
          <w:pgNumType w:fmt="numberInDash"/>
          <w:cols w:space="720" w:num="1"/>
          <w:docGrid w:linePitch="312" w:charSpace="0"/>
        </w:sectPr>
      </w:pPr>
    </w:p>
    <w:p>
      <w:pPr>
        <w:pStyle w:val="91"/>
        <w:spacing w:before="120" w:after="120"/>
        <w:rPr>
          <w:rFonts w:ascii="宋体" w:hAnsi="宋体" w:eastAsia="宋体" w:cs="宋体"/>
        </w:rPr>
      </w:pPr>
      <w:bookmarkStart w:id="4" w:name="_Toc1723419818_WPSOffice_Level1"/>
      <w:bookmarkStart w:id="5" w:name="_Toc776615604_WPSOffice_Level1"/>
      <w:r>
        <w:rPr>
          <w:rFonts w:hint="eastAsia" w:ascii="宋体" w:hAnsi="宋体" w:eastAsia="宋体" w:cs="宋体"/>
        </w:rPr>
        <w:t>A105080</w:t>
      </w:r>
      <w:r>
        <w:rPr>
          <w:rFonts w:hint="eastAsia" w:ascii="宋体" w:hAnsi="宋体" w:eastAsia="宋体" w:cs="宋体"/>
        </w:rPr>
        <w:tab/>
      </w:r>
      <w:r>
        <w:rPr>
          <w:rFonts w:hint="eastAsia" w:ascii="宋体" w:hAnsi="宋体" w:eastAsia="宋体" w:cs="宋体"/>
        </w:rPr>
        <w:t>《资产折旧、摊销及纳税调整明细表》填报说明</w:t>
      </w:r>
      <w:bookmarkEnd w:id="4"/>
      <w:bookmarkEnd w:id="5"/>
    </w:p>
    <w:bookmarkEnd w:id="2"/>
    <w:bookmarkEnd w:id="3"/>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本表适用于发生资产折旧、摊销的纳税人填报。纳税人根据税法、《国家税务总局关于企业固定资产加速折旧所得税处理有关问题的通知》（国税发〔2009〕81号）、《国家税务总局关于融资性售后回租业务中承租方出售资产行为有关税收问题的公告》（2010年第13号）、《国家税务总局关于企业所得税若干问题的公告》（2011年第34 号）、《国家税务总局关于发布〈企业所得税政策性搬迁所得税管理办法〉的公告》（2012 年第40号）、《财政部 国家税务总局关于进一步鼓励软件产业和集成电路产业发展企业所得税政策的通知》（财税〔2012〕27号）、《国家税务总局关于企业所得税应纳税所得额若干问题的公告》（2014年第29号）、《财政部 国家税务总局关于完善固定资产加速折旧税收政策有关问题的通知》（财税〔2014〕75号）、《财政部 国家税务总局关于进一步完善固定资产加速折旧企业所得税政策的通知》（财税〔2015〕106号）、《国家税务总局关于全民所有制企业公司制改制企业所得税处理问题的公告》（2017 年第34号）、《财政部 税务总局关于设备器具扣除有关企业所得税政策的通知》（财税〔2018〕54号）、《国家税务总局关于设备器具扣除有关企业所得税政策执行问题的公告》（2018年第46号）、《财政部 税务总局关于扩大固定资产加速折旧优惠政策适用范围的公告》（2019年第66号）、《财政部 税务总局关于海南自由贸易港企业所得税优惠政策的通知》（财税〔2020〕31号）、《财政部 税务总局关于延长部分税收优惠政策执行期限的公告》（2021年第6号）、《财政部 税务总局关于中小微企业设备器具所得税税前扣除有关政策的公告》（2022年第12号）、《财政部 税务总局 科技部关于加大支持科技创新税前扣除力度的公告》（2022年第28号）、《财政部 税务总局关于横琴粤澳深度合作区企业所得税优惠政策的通知》（财税〔2022〕19号）等相关规定，以及国家统一企业会计制度，填报资产折旧、摊销的会计处理、税收规定，以及纳税调整情况。纳税人只要发生相关事项，均需填报本表。</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一、有关项目填报说明</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（一）列次填报对于不征税收入形成的资产，其折旧、摊销额不得税前扣除。第4列至第8列税收金额不包含不征税收入所形成资产的折旧、摊销额。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1.第1列“资产原值”：填报纳税人会计处理计提折旧、摊销的资产原值（或历史成本）的金额。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right="77"/>
        <w:jc w:val="center"/>
        <w:textAlignment w:val="auto"/>
        <w:rPr>
          <w:sz w:val="24"/>
          <w:szCs w:val="24"/>
        </w:rPr>
      </w:pPr>
      <w:r>
        <w:rPr>
          <w:sz w:val="24"/>
          <w:szCs w:val="24"/>
        </w:rPr>
        <w:t>2.第2列“本年折旧、摊销额”：填报纳税人会计核算的本年资产折旧、摊销额。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3.第3列“累计折旧、摊销额”：填报纳税人会计核算的累计（含本年）资产折旧、摊销额。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4.第4列“资产计税基础”：填报纳税人按照税收规定据以计算折旧、摊销的资产原值（或历史成本）的金额。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5.第5列“税收折旧、摊销额”：填报纳税人按照税收规定计算的允许税前扣除的本年资产折旧、摊销额。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8行至第17行、第30行至第32行第5列“税收折旧、摊销额”：填报享受相关加速折旧、摊销优惠政策的资产，采取税收加速折旧、摊销或一次性扣除方式计算的税收折旧额合计金额、摊销额合计金额。本列仅填报“税收折旧、摊销额”大于“享受加速折旧政策的资产按税收一般规定计算的折旧、摊销额”月份的金额合计。如，享受加速折旧、摊销优惠政策的资产，发生本年度某些月份其“税收折旧、摊销额”大于“享受加速折旧政策的资产按税收一般规定计算的折旧、摊销额”，其余月份其“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6.第6列“享受加速折旧政策的资产按税收一般规定计算的折旧、摊销额”：仅适用于第8行至第17行、第30行至第32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本列仅填报“税收折旧、摊销额”大于“享受加速折旧政策的资产按税收一般规定计算的折旧、摊销额”月份的按税收一般规定计算的折旧额合计金额、摊销额合计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7.第7列“加速折旧、摊销统计额”：用于统计纳税人享受各类固定资产加速折旧政策的优惠金额，按第5-6列金额填报。</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8.第8列“累计折旧、摊销额”：填报纳税人按照税收规定计算的累计（含本年）资产折旧、摊销额。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9.第9列“纳税调整金额”：填报第2-5列金额。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（二）行次填报</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1.第2行至第7行、第19行至第20行、第22行至第29行、第34行至第40行：填报各类资产有关情况。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2. 第8行至第17行、第30行至第32行：填报纳税人享受相关加速折旧、摊销优惠政策的资产有关情况及优惠统计情况。若固定资产或无形资产同时适用多项政策，由纳税人自行选择一项政策填报。同一项固定资产或无形资产不得重复填报。</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8行“（一）重要行业固定资产加速折旧”：适用于符合财税〔2014〕75号、财税〔2015〕106号和财政部、税务总局公告2019年第66号文件规定的制造业，信息传输、软件和信息技术服务业行业（以下称“重要行业”）的企业填报，填报新购进固定资产享受加速折旧政策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第9行“（二）其他行业研发设备加速折旧”：适用于重要行业以外的其他企业填报，填报单位价值超过100万元以上专用研发设备采取缩短折旧年限或加速折旧方法的有关情况及优惠统计情况。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right="117" w:firstLine="470"/>
        <w:jc w:val="both"/>
        <w:textAlignment w:val="auto"/>
        <w:rPr>
          <w:sz w:val="24"/>
          <w:szCs w:val="24"/>
        </w:rPr>
      </w:pPr>
      <w:r>
        <w:rPr>
          <w:sz w:val="24"/>
          <w:szCs w:val="24"/>
        </w:rPr>
        <w:t>第10行“（三）特定地区企业固定资产加速折旧”：适用于海南自由贸易港等特定地区设立的企业填报享受固定资产加速折旧政策有关情况。本行填报第10.1+10.2行金额。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第10.1行“1.海南自由贸易港企业固定资产加速折旧”：海南自由贸易港企业填报新购置（含自建）单位价值500万元以上的固定资产，按照税收规定采取缩短折旧年限或加速折旧方法的有关情况及优惠统计情况。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right="127" w:firstLine="480" w:firstLineChars="200"/>
        <w:jc w:val="left"/>
        <w:textAlignment w:val="auto"/>
        <w:rPr>
          <w:sz w:val="24"/>
          <w:szCs w:val="24"/>
        </w:rPr>
      </w:pPr>
      <w:r>
        <w:rPr>
          <w:sz w:val="24"/>
          <w:szCs w:val="24"/>
        </w:rPr>
        <w:t>第10.2行“2.横琴粤澳深度合作区企业固定资产加速折旧”：横琴粤澳深度合作区企业填报新购置(含自建)单位价值500万元以上的固定资产，按照税收规定采取缩短折旧年限或加速折旧方法的固定资产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第11行“（四）500万元以下设备器具一次性扣除”：填报新购置单位价值不超过 500万元的设备器具等，按照税收规定一次性扣除的有关情况及优惠统计情况。本行填报第11.1+11.2行金额。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right="117" w:firstLine="470"/>
        <w:jc w:val="both"/>
        <w:textAlignment w:val="auto"/>
        <w:rPr>
          <w:sz w:val="24"/>
          <w:szCs w:val="24"/>
        </w:rPr>
      </w:pPr>
      <w:r>
        <w:rPr>
          <w:sz w:val="24"/>
          <w:szCs w:val="24"/>
        </w:rPr>
        <w:t>第11.1行“高新技术企业2022年第四季度（10月-12月）购置单价500万元以下设备器具一次性扣除”：高新技术企业填报2022年第四季度（10月-12月）新购置单位价值不超过500万元的设备器具等，按照税收规定一次性扣除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第11.2行“购置单价500万元以下设备器具一次性扣除(不包含高新技术企业2022 年第四季度购置)”：除高新技术企业以外的其他企业填报新购置单位价值不超过500 万元的设备器具或者高新技术企业填报除2022年第四季度（10月-12月）以外新购置单位价值不超过500万元的设备器具，按照税收规定一次性扣除的有关情况及优惠统计情况。高新技术企业2022年第四季度（10月-12月）新购置单位价值不超过500万元的设备器具等一次性扣除情况，在第11.1行“高新技术企业2022年第四季度（10月-12 月）购置单价500万元以下设备器具一次性扣除”填报。</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第12行“（五）500万元以上设备器具一次性扣除”：填报新购置单位价值超过 500万元的设备器具等，按照税收规定部分或全部一次性扣除的有关情况及优惠统计情况。第12.1行、第12.2行、第12.3行适用中小微企业填报2022年1月1日至2022 年12月31日期间新购置的设备器具所得税税前扣除政策有关情况，第12.4行适用高新技术企业填报2022年第四季度购置设备器具所得税税前扣除政策有关情况。本行填报第12.1+12.2+12.3+12.4行金额。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12.1行“1.中小微企业购置单价500万元以上设备器具—最低折旧年限为3年的设备器具一次性扣除”，填报中小微企业新购置单位价值500万元以上的设备器具（折旧年限为3年），按照税收规定一次性扣除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right="137"/>
        <w:jc w:val="left"/>
        <w:textAlignment w:val="auto"/>
        <w:rPr>
          <w:sz w:val="24"/>
          <w:szCs w:val="24"/>
        </w:rPr>
      </w:pPr>
      <w:r>
        <w:rPr>
          <w:rFonts w:hint="eastAsia"/>
          <w:sz w:val="24"/>
          <w:szCs w:val="24"/>
          <w:lang w:val="en-US" w:eastAsia="zh-CN"/>
        </w:rPr>
        <w:t xml:space="preserve">    </w:t>
      </w:r>
      <w:r>
        <w:rPr>
          <w:sz w:val="24"/>
          <w:szCs w:val="24"/>
        </w:rPr>
        <w:t>第12.2行“2.中小微企业购置单价500万元以上设备器具—最低折旧年限为4、5 年的设备器具50%部分一次性扣除”，填报中小微企业新购置单位价值500万元以上的设备器具（折旧年限为4、5年）50%的部分，按照税收规定一次性扣除的有关情况及优惠统计情况。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right="117" w:firstLine="470"/>
        <w:jc w:val="both"/>
        <w:textAlignment w:val="auto"/>
        <w:rPr>
          <w:sz w:val="24"/>
          <w:szCs w:val="24"/>
        </w:rPr>
      </w:pPr>
      <w:r>
        <w:rPr>
          <w:sz w:val="24"/>
          <w:szCs w:val="24"/>
        </w:rPr>
        <w:t>第12.3行“3.中小微企业购置单价500万元以上设备器具—最低折旧年限为10年的设备器具50%部分一次性扣除”，填报中小微企业新购置单位价值500万元以上的设备器具（折旧年限为10年）50%的部分，按照税收规定一次性扣除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12.4行“4.高新技术企业2022年第四季度（10月-12月）购置单价500万元以上设备器具一次性扣除”：填报高新技术企业2022年第四季度（10月-12月）新购置单位价值500万元以上设备器具，按照税收规定一次性扣除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第13行“（六）特定地区企业固定资产一次性扣除”：适用于海南自由贸易港等特定地区设立的企业填报享受固定资产一次性扣除政策有关情况。本行填报第</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5"/>
        <w:textAlignment w:val="auto"/>
        <w:rPr>
          <w:sz w:val="24"/>
          <w:szCs w:val="24"/>
        </w:rPr>
      </w:pPr>
      <w:r>
        <w:rPr>
          <w:sz w:val="24"/>
          <w:szCs w:val="24"/>
        </w:rPr>
        <w:t>13.1+13.2行金额。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第13.1行“1.海南自由贸易港企业固定资产一次性扣除”：海南自由贸易港企业填报新购置(含自建)单位价值不超过500万元的固定资产，按照税收规定一次性扣除的有关情况及优惠统计情况。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第13.2行“2.横琴粤澳深度合作区企业固定资产一次性扣除”：横琴粤澳深度合作区企业填报新购置(含自建)单位价值不超过500万元的固定资产，按照税收规定一次性扣除的有关情况及优惠统计情况。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right="117" w:firstLine="470"/>
        <w:jc w:val="both"/>
        <w:textAlignment w:val="auto"/>
        <w:rPr>
          <w:sz w:val="24"/>
          <w:szCs w:val="24"/>
        </w:rPr>
      </w:pPr>
      <w:r>
        <w:rPr>
          <w:sz w:val="24"/>
          <w:szCs w:val="24"/>
        </w:rPr>
        <w:t>第14行“（七）技术进步、更新换代固定资产加速折旧”：填报固定资产因技术进步、产品更新换代较快而按税收规定享受固定资产加速折旧政策的有关情况及优惠统计情况。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right="9"/>
        <w:jc w:val="right"/>
        <w:textAlignment w:val="auto"/>
        <w:rPr>
          <w:sz w:val="24"/>
          <w:szCs w:val="24"/>
        </w:rPr>
      </w:pPr>
      <w:r>
        <w:rPr>
          <w:sz w:val="24"/>
          <w:szCs w:val="24"/>
        </w:rPr>
        <w:t>第15行“（八）常年强震动、高腐蚀固定资产加速折旧”：填报常年处于强震动、</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5"/>
        <w:textAlignment w:val="auto"/>
        <w:rPr>
          <w:sz w:val="24"/>
          <w:szCs w:val="24"/>
        </w:rPr>
      </w:pPr>
      <w:r>
        <w:rPr>
          <w:sz w:val="24"/>
          <w:szCs w:val="24"/>
        </w:rPr>
        <w:t>高腐蚀状态的固定资产按税收规定享受固定资产加速折旧政策的有关情况及优惠统计情况。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right="125"/>
        <w:jc w:val="left"/>
        <w:textAlignment w:val="auto"/>
        <w:rPr>
          <w:sz w:val="24"/>
          <w:szCs w:val="24"/>
        </w:rPr>
      </w:pPr>
      <w:r>
        <w:rPr>
          <w:rFonts w:hint="eastAsia"/>
          <w:sz w:val="24"/>
          <w:szCs w:val="24"/>
          <w:lang w:val="en-US" w:eastAsia="zh-CN"/>
        </w:rPr>
        <w:t xml:space="preserve">    </w:t>
      </w:r>
      <w:r>
        <w:rPr>
          <w:sz w:val="24"/>
          <w:szCs w:val="24"/>
        </w:rPr>
        <w:t>第16行“（九）外购软件加速折旧”：填报企业外购软件作为固定资产处理，按财税〔2012〕27号文件规定享受加速折旧政策的有关情况及优惠统计情况。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第17行“（十）集成电路企业生产设备加速折旧”：填报集成电路生产企业的生产设备，按照财税〔2012〕27号文件规定享受加速折旧政策的有关情况及优惠统计情况。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第30行“（一）企业外购软件加速摊销”：填报企业外购软件作无形资产处理，按财税〔2012〕27号文件规定享受加速摊销政策的有关情况及优惠统计情况。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right="117" w:firstLine="470"/>
        <w:jc w:val="both"/>
        <w:textAlignment w:val="auto"/>
        <w:rPr>
          <w:sz w:val="24"/>
          <w:szCs w:val="24"/>
        </w:rPr>
      </w:pPr>
      <w:r>
        <w:rPr>
          <w:sz w:val="24"/>
          <w:szCs w:val="24"/>
        </w:rPr>
        <w:t>第31行“（二）特定地区企业无形资产加速摊销”：适用于海南自由贸易港等特定地区设立的企业填报享受无形资产加速摊销政策有关情况。本行填报第31.1+31.2行金额。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31.1行“海南自由贸易港企业无形资产加速摊销”：海南自由贸易港企业填报新购置（含自行开发）单位价值超过500万元的无形资产，按照税收规定采取缩短摊销年限或加速摊销方法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31.2行“横琴粤澳深度合作区企业无形资产加速摊销”：横琴粤澳深度合作区企业填报新购置（含自行开发）单位价值超过500万元的无形资产，按照税收规定采取缩短摊销年限或加速摊销方法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第32行“（三）特定地区企业无形资产一次性摊销”：适用于海南自由贸易港等特定地区设立的企业填报享受无形资产一次性摊销政策有关情况。本行填报第</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5"/>
        <w:textAlignment w:val="auto"/>
        <w:rPr>
          <w:sz w:val="24"/>
          <w:szCs w:val="24"/>
        </w:rPr>
      </w:pPr>
      <w:r>
        <w:rPr>
          <w:sz w:val="24"/>
          <w:szCs w:val="24"/>
        </w:rPr>
        <w:t>32.1+32.2行金额。</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第32.1行“海南自由贸易港企业无形资产一次性摊销”：海南自由贸易港企业填报新购置（含自行开发）单位价值不超过500万元的无形资产，按照税收规定一次性摊销的有关情况及优惠统计情况。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第32.2行“横琴粤澳深度合作区企业无形资产一次性摊销”：横琴粤澳深度合作区企业填报新购置（含自行开发）单位价值不超过500万元的无形资产，按照税收规定一次性摊销的有关情况及优惠统计情况。</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3.附列资料“全民所有制企业公司制改制资产评估增值政策资产”：填报企业按照国家税务总局公告2017年第34号规定，执行“改制中资产评估增值不计入应纳税所得额，资产的计税基础按其原有计税基础确定，资产增值部分的折旧或者摊销不得在税前扣除”政策的有关情况。本行不参与计算，仅用于统计享受全民所有制企业公司制改制资产评估增值政策资产的有关情况，相关资产折旧、摊销情况及调整情况在第1行至第40行填报。</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二、表内、表间关系</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（一）表内关系</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1.第1行＝第2+3+…+7行。</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2.第10行＝第10.1行+第10.2行。</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3.第11行=第11.1行+第11.2行。</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4.第12行=第12.1+12.2+12.3+12.4行。</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5.第13行＝第13.1+13.2行。</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6.第18行＝第19+20行。</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7.第21行＝第22+23…+29行。</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8.第31行＝第31.1+31.2行。</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9.第32行＝第32.1+32.2行。</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10.第33行＝第34+35+36+37+38行。</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11. 第 41 行 ＝ 第 1+18+21+33+39+40 行 。 （ 其 中 第 41 行 第 6 列 ＝ 第</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5"/>
        <w:textAlignment w:val="auto"/>
        <w:rPr>
          <w:sz w:val="24"/>
          <w:szCs w:val="24"/>
        </w:rPr>
      </w:pPr>
      <w:r>
        <w:rPr>
          <w:sz w:val="24"/>
          <w:szCs w:val="24"/>
        </w:rPr>
        <w:t>8+9+10+11+12+13+14+15+16+17+30+31+32 行 第 6 列 ； 第 41 行 第 7 列 ＝ 第</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5"/>
        <w:textAlignment w:val="auto"/>
        <w:rPr>
          <w:sz w:val="24"/>
          <w:szCs w:val="24"/>
        </w:rPr>
      </w:pPr>
      <w:r>
        <w:rPr>
          <w:sz w:val="24"/>
          <w:szCs w:val="24"/>
        </w:rPr>
        <w:t>8+9+10+11+12+13+14+15+16+17+30+31+32行第7列）。</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12.第7列＝第5-6列。</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13.第9列＝第2-5列。</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（二）表间关系</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1.第41行第2列＝表A105000第32行第1列。</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490"/>
        <w:textAlignment w:val="auto"/>
        <w:rPr>
          <w:sz w:val="24"/>
          <w:szCs w:val="24"/>
        </w:rPr>
      </w:pPr>
      <w:r>
        <w:rPr>
          <w:sz w:val="24"/>
          <w:szCs w:val="24"/>
        </w:rPr>
        <w:t>2.第41行第5列＝表A105000第32行第2列。</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ind w:left="-15" w:firstLine="480"/>
        <w:textAlignment w:val="auto"/>
        <w:rPr>
          <w:sz w:val="24"/>
          <w:szCs w:val="24"/>
        </w:rPr>
      </w:pPr>
      <w:r>
        <w:rPr>
          <w:sz w:val="24"/>
          <w:szCs w:val="24"/>
        </w:rPr>
        <w:t>3.若第41行第9列≥0，第41行第9列＝表A105000第32行第3列；若第41行第9列＜0，第41行第9列的绝对值＝表A105000第32行第4列。</w:t>
      </w:r>
    </w:p>
    <w:p>
      <w:pPr>
        <w:keepNext w:val="0"/>
        <w:keepLines w:val="0"/>
        <w:pageBreakBefore w:val="0"/>
        <w:widowControl w:val="0"/>
        <w:kinsoku/>
        <w:wordWrap/>
        <w:overflowPunct/>
        <w:topLinePunct w:val="0"/>
        <w:autoSpaceDE/>
        <w:autoSpaceDN/>
        <w:bidi w:val="0"/>
        <w:adjustRightInd/>
        <w:snapToGrid/>
        <w:spacing w:before="0" w:beforeLines="50" w:after="120" w:line="360" w:lineRule="auto"/>
        <w:textAlignment w:val="auto"/>
        <w:rPr>
          <w:sz w:val="24"/>
          <w:szCs w:val="24"/>
        </w:rPr>
        <w:sectPr>
          <w:footerReference r:id="rId9" w:type="first"/>
          <w:footerReference r:id="rId7" w:type="default"/>
          <w:footerReference r:id="rId8" w:type="even"/>
          <w:pgSz w:w="11905" w:h="16838"/>
          <w:pgMar w:top="2108" w:right="1292" w:bottom="2094" w:left="1416" w:header="720" w:footer="713" w:gutter="0"/>
          <w:cols w:space="720" w:num="1"/>
        </w:sectPr>
      </w:pPr>
    </w:p>
    <w:p>
      <w:pPr>
        <w:pStyle w:val="92"/>
        <w:ind w:firstLine="480"/>
      </w:pPr>
    </w:p>
    <w:sectPr>
      <w:headerReference r:id="rId10" w:type="even"/>
      <w:pgSz w:w="11906" w:h="16838"/>
      <w:pgMar w:top="1134" w:right="1418" w:bottom="1134" w:left="141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Heiti SC Ligh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ESI宋体-GB2312">
    <w:altName w:val="宋体"/>
    <w:panose1 w:val="00000000000000000000"/>
    <w:charset w:val="86"/>
    <w:family w:val="auto"/>
    <w:pitch w:val="default"/>
    <w:sig w:usb0="00000000" w:usb1="00000000" w:usb2="00000010" w:usb3="00000000" w:csb0="0004000F" w:csb1="00000000"/>
  </w:font>
  <w:font w:name="CESI黑体-GB2312">
    <w:altName w:val="黑体"/>
    <w:panose1 w:val="00000000000000000000"/>
    <w:charset w:val="86"/>
    <w:family w:val="auto"/>
    <w:pitch w:val="default"/>
    <w:sig w:usb0="00000000" w:usb1="00000000" w:usb2="00000012"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 w:firstLine="0"/>
      <w:jc w:val="center"/>
    </w:pPr>
    <w:r>
      <w:fldChar w:fldCharType="begin"/>
    </w:r>
    <w:r>
      <w:instrText xml:space="preserve"> PAGE   \* MERGEFORMAT </w:instrText>
    </w:r>
    <w:r>
      <w:fldChar w:fldCharType="separate"/>
    </w:r>
    <w:r>
      <w:rPr>
        <w:sz w:val="21"/>
      </w:rPr>
      <w:t>12</w:t>
    </w:r>
    <w:r>
      <w:rPr>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 w:firstLine="0"/>
      <w:jc w:val="center"/>
    </w:pPr>
    <w:r>
      <w:fldChar w:fldCharType="begin"/>
    </w:r>
    <w:r>
      <w:instrText xml:space="preserve"> PAGE   \* MERGEFORMAT </w:instrText>
    </w:r>
    <w:r>
      <w:fldChar w:fldCharType="separate"/>
    </w:r>
    <w:r>
      <w:rPr>
        <w:sz w:val="21"/>
      </w:rPr>
      <w:t>12</w:t>
    </w:r>
    <w:r>
      <w:rPr>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 w:firstLine="0"/>
      <w:jc w:val="center"/>
    </w:pPr>
    <w:r>
      <w:fldChar w:fldCharType="begin"/>
    </w:r>
    <w:r>
      <w:instrText xml:space="preserve"> PAGE   \* MERGEFORMAT </w:instrText>
    </w:r>
    <w:r>
      <w:fldChar w:fldCharType="separate"/>
    </w:r>
    <w:r>
      <w:rPr>
        <w:sz w:val="21"/>
      </w:rPr>
      <w:t>12</w:t>
    </w:r>
    <w:r>
      <w:rPr>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33</w:t>
    </w:r>
    <w:r>
      <w:rPr>
        <w:rStyle w:val="28"/>
      </w:rPr>
      <w:fldChar w:fldCharType="end"/>
    </w:r>
  </w:p>
  <w:p>
    <w:pPr>
      <w:pStyle w:val="14"/>
      <w:jc w:val="center"/>
      <w:rPr>
        <w:rFonts w:ascii="Arial" w:hAnsi="Arial" w:eastAsia="等线 Light" w:cs="Arial"/>
        <w:sz w:val="21"/>
        <w:szCs w:val="21"/>
        <w:lang w:val="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26" w:firstLine="0"/>
      <w:jc w:val="center"/>
    </w:pPr>
    <w:r>
      <w:fldChar w:fldCharType="begin"/>
    </w:r>
    <w:r>
      <w:instrText xml:space="preserve"> PAGE   \* MERGEFORMAT </w:instrText>
    </w:r>
    <w:r>
      <w:fldChar w:fldCharType="separate"/>
    </w:r>
    <w:r>
      <w:rPr>
        <w:sz w:val="21"/>
      </w:rPr>
      <w:t>16</w:t>
    </w:r>
    <w:r>
      <w:rPr>
        <w:sz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26" w:firstLine="0"/>
      <w:jc w:val="center"/>
    </w:pPr>
    <w:r>
      <w:fldChar w:fldCharType="begin"/>
    </w:r>
    <w:r>
      <w:instrText xml:space="preserve"> PAGE   \* MERGEFORMAT </w:instrText>
    </w:r>
    <w:r>
      <w:fldChar w:fldCharType="separate"/>
    </w:r>
    <w:r>
      <w:rPr>
        <w:sz w:val="21"/>
      </w:rPr>
      <w:t>16</w:t>
    </w:r>
    <w:r>
      <w:rPr>
        <w:sz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26" w:firstLine="0"/>
      <w:jc w:val="center"/>
    </w:pPr>
    <w:r>
      <w:fldChar w:fldCharType="begin"/>
    </w:r>
    <w:r>
      <w:instrText xml:space="preserve"> PAGE   \* MERGEFORMAT </w:instrText>
    </w:r>
    <w:r>
      <w:fldChar w:fldCharType="separate"/>
    </w:r>
    <w:r>
      <w:rPr>
        <w:sz w:val="21"/>
      </w:rPr>
      <w:t>16</w:t>
    </w:r>
    <w:r>
      <w:rPr>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60634"/>
    <w:multiLevelType w:val="multilevel"/>
    <w:tmpl w:val="0DD60634"/>
    <w:lvl w:ilvl="0" w:tentative="0">
      <w:start w:val="1"/>
      <w:numFmt w:val="decimal"/>
      <w:lvlText w:val="%1."/>
      <w:lvlJc w:val="left"/>
      <w:pPr>
        <w:ind w:left="900" w:hanging="420"/>
      </w:pPr>
      <w:rPr>
        <w:rFonts w:hint="default" w:ascii="Arial" w:hAnsi="Arial" w:eastAsia="宋体" w:cs="Times New Roman"/>
        <w:b w:val="0"/>
        <w:i w:val="0"/>
        <w:sz w:val="24"/>
      </w:rPr>
    </w:lvl>
    <w:lvl w:ilvl="1" w:tentative="0">
      <w:start w:val="1"/>
      <w:numFmt w:val="decimal"/>
      <w:pStyle w:val="57"/>
      <w:suff w:val="nothing"/>
      <w:lvlText w:val="%2."/>
      <w:lvlJc w:val="left"/>
      <w:pPr>
        <w:ind w:left="840" w:hanging="420"/>
      </w:pPr>
      <w:rPr>
        <w:rFonts w:hint="default" w:ascii="宋体" w:hAnsi="宋体" w:eastAsia="宋体" w:cs="Times New Roman"/>
        <w:b w:val="0"/>
        <w:i w:val="0"/>
        <w:caps w:val="0"/>
        <w:strike w:val="0"/>
        <w:dstrike w:val="0"/>
        <w:vanish w:val="0"/>
        <w:color w:val="000000"/>
        <w:sz w:val="24"/>
        <w:vertAlign w:val="baseline"/>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MjhlM2U4Mjk2Y2FhOWI4NzU2ODU0MDU0NTZiNGQifQ=="/>
  </w:docVars>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71BE5"/>
    <w:rsid w:val="0029637B"/>
    <w:rsid w:val="002A455B"/>
    <w:rsid w:val="002C1F0B"/>
    <w:rsid w:val="002E573A"/>
    <w:rsid w:val="002F0781"/>
    <w:rsid w:val="002F20E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A5882"/>
    <w:rsid w:val="00AD39BC"/>
    <w:rsid w:val="00AE2746"/>
    <w:rsid w:val="00B036EE"/>
    <w:rsid w:val="00B12251"/>
    <w:rsid w:val="00B6763B"/>
    <w:rsid w:val="00BA72C5"/>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DB4DCF"/>
    <w:rsid w:val="00E162E2"/>
    <w:rsid w:val="00E323F8"/>
    <w:rsid w:val="00E3608B"/>
    <w:rsid w:val="00E505A5"/>
    <w:rsid w:val="00E63504"/>
    <w:rsid w:val="00E7191F"/>
    <w:rsid w:val="00E75983"/>
    <w:rsid w:val="00E95110"/>
    <w:rsid w:val="00EB2DFF"/>
    <w:rsid w:val="00EC4D8E"/>
    <w:rsid w:val="00ED3388"/>
    <w:rsid w:val="00F20FD0"/>
    <w:rsid w:val="00F26ED1"/>
    <w:rsid w:val="00F62499"/>
    <w:rsid w:val="00F7322A"/>
    <w:rsid w:val="00F938FB"/>
    <w:rsid w:val="00FD213A"/>
    <w:rsid w:val="00FE3031"/>
    <w:rsid w:val="012473A4"/>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5FA6318"/>
    <w:rsid w:val="6C022E1D"/>
    <w:rsid w:val="7FDE10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99" w:semiHidden="0" w:name="toc 4"/>
    <w:lsdException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keepLines/>
      <w:spacing w:before="340" w:after="330" w:line="576" w:lineRule="auto"/>
      <w:outlineLvl w:val="0"/>
    </w:pPr>
    <w:rPr>
      <w:b/>
      <w:kern w:val="44"/>
      <w:sz w:val="20"/>
      <w:szCs w:val="20"/>
    </w:rPr>
  </w:style>
  <w:style w:type="paragraph" w:styleId="3">
    <w:name w:val="heading 2"/>
    <w:basedOn w:val="1"/>
    <w:next w:val="1"/>
    <w:link w:val="3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99"/>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99"/>
    <w:pPr>
      <w:ind w:left="1260"/>
      <w:jc w:val="left"/>
    </w:pPr>
    <w:rPr>
      <w:rFonts w:ascii="Calibri" w:hAnsi="Calibri"/>
      <w:sz w:val="18"/>
      <w:szCs w:val="18"/>
    </w:rPr>
  </w:style>
  <w:style w:type="paragraph" w:styleId="6">
    <w:name w:val="Document Map"/>
    <w:basedOn w:val="1"/>
    <w:link w:val="35"/>
    <w:semiHidden/>
    <w:qFormat/>
    <w:uiPriority w:val="99"/>
    <w:pPr>
      <w:shd w:val="clear" w:color="auto" w:fill="000080"/>
    </w:pPr>
  </w:style>
  <w:style w:type="paragraph" w:styleId="7">
    <w:name w:val="annotation text"/>
    <w:basedOn w:val="1"/>
    <w:link w:val="36"/>
    <w:semiHidden/>
    <w:uiPriority w:val="99"/>
    <w:pPr>
      <w:jc w:val="left"/>
    </w:pPr>
    <w:rPr>
      <w:sz w:val="24"/>
    </w:rPr>
  </w:style>
  <w:style w:type="paragraph" w:styleId="8">
    <w:name w:val="toc 5"/>
    <w:basedOn w:val="1"/>
    <w:next w:val="1"/>
    <w:uiPriority w:val="99"/>
    <w:pPr>
      <w:ind w:left="840"/>
      <w:jc w:val="left"/>
    </w:pPr>
    <w:rPr>
      <w:rFonts w:ascii="Calibri" w:hAnsi="Calibri"/>
      <w:sz w:val="18"/>
      <w:szCs w:val="18"/>
    </w:rPr>
  </w:style>
  <w:style w:type="paragraph" w:styleId="9">
    <w:name w:val="toc 3"/>
    <w:basedOn w:val="1"/>
    <w:next w:val="1"/>
    <w:qFormat/>
    <w:uiPriority w:val="99"/>
    <w:pPr>
      <w:ind w:left="420"/>
      <w:jc w:val="left"/>
    </w:pPr>
    <w:rPr>
      <w:rFonts w:ascii="Calibri" w:hAnsi="Calibri"/>
      <w:i/>
      <w:iCs/>
      <w:sz w:val="20"/>
      <w:szCs w:val="20"/>
    </w:rPr>
  </w:style>
  <w:style w:type="paragraph" w:styleId="10">
    <w:name w:val="Plain Text"/>
    <w:basedOn w:val="1"/>
    <w:link w:val="37"/>
    <w:qFormat/>
    <w:uiPriority w:val="99"/>
    <w:rPr>
      <w:rFonts w:ascii="宋体" w:hAnsi="Courier New" w:cs="Courier New"/>
      <w:szCs w:val="21"/>
    </w:rPr>
  </w:style>
  <w:style w:type="paragraph" w:styleId="11">
    <w:name w:val="toc 8"/>
    <w:basedOn w:val="1"/>
    <w:next w:val="1"/>
    <w:qFormat/>
    <w:uiPriority w:val="99"/>
    <w:pPr>
      <w:ind w:left="1470"/>
      <w:jc w:val="left"/>
    </w:pPr>
    <w:rPr>
      <w:rFonts w:ascii="Calibri" w:hAnsi="Calibri"/>
      <w:sz w:val="18"/>
      <w:szCs w:val="18"/>
    </w:rPr>
  </w:style>
  <w:style w:type="paragraph" w:styleId="12">
    <w:name w:val="Date"/>
    <w:basedOn w:val="1"/>
    <w:next w:val="1"/>
    <w:link w:val="38"/>
    <w:qFormat/>
    <w:uiPriority w:val="99"/>
    <w:pPr>
      <w:ind w:left="100" w:leftChars="2500"/>
    </w:pPr>
  </w:style>
  <w:style w:type="paragraph" w:styleId="13">
    <w:name w:val="Balloon Text"/>
    <w:basedOn w:val="1"/>
    <w:link w:val="39"/>
    <w:semiHidden/>
    <w:qFormat/>
    <w:uiPriority w:val="99"/>
    <w:rPr>
      <w:rFonts w:ascii="Heiti SC Light" w:eastAsia="Times New Roman"/>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after="120"/>
      <w:jc w:val="left"/>
    </w:pPr>
    <w:rPr>
      <w:rFonts w:ascii="Calibri" w:hAnsi="Calibri"/>
      <w:b/>
      <w:bCs/>
      <w:caps/>
      <w:sz w:val="20"/>
      <w:szCs w:val="20"/>
    </w:rPr>
  </w:style>
  <w:style w:type="paragraph" w:styleId="17">
    <w:name w:val="toc 4"/>
    <w:basedOn w:val="1"/>
    <w:next w:val="1"/>
    <w:uiPriority w:val="99"/>
    <w:pPr>
      <w:ind w:left="630"/>
      <w:jc w:val="left"/>
    </w:pPr>
    <w:rPr>
      <w:rFonts w:ascii="Calibri" w:hAnsi="Calibri"/>
      <w:sz w:val="18"/>
      <w:szCs w:val="18"/>
    </w:rPr>
  </w:style>
  <w:style w:type="paragraph" w:styleId="18">
    <w:name w:val="toc 6"/>
    <w:basedOn w:val="1"/>
    <w:next w:val="1"/>
    <w:qFormat/>
    <w:uiPriority w:val="99"/>
    <w:pPr>
      <w:ind w:left="1050"/>
      <w:jc w:val="left"/>
    </w:pPr>
    <w:rPr>
      <w:rFonts w:ascii="Calibri" w:hAnsi="Calibri"/>
      <w:sz w:val="18"/>
      <w:szCs w:val="18"/>
    </w:rPr>
  </w:style>
  <w:style w:type="paragraph" w:styleId="19">
    <w:name w:val="toc 2"/>
    <w:basedOn w:val="1"/>
    <w:next w:val="1"/>
    <w:qFormat/>
    <w:uiPriority w:val="99"/>
    <w:pPr>
      <w:ind w:left="210"/>
      <w:jc w:val="left"/>
    </w:pPr>
    <w:rPr>
      <w:rFonts w:ascii="Calibri" w:hAnsi="Calibri"/>
      <w:smallCaps/>
      <w:sz w:val="20"/>
      <w:szCs w:val="20"/>
    </w:rPr>
  </w:style>
  <w:style w:type="paragraph" w:styleId="20">
    <w:name w:val="toc 9"/>
    <w:basedOn w:val="1"/>
    <w:next w:val="1"/>
    <w:qFormat/>
    <w:uiPriority w:val="99"/>
    <w:pPr>
      <w:ind w:left="1680"/>
      <w:jc w:val="left"/>
    </w:pPr>
    <w:rPr>
      <w:rFonts w:ascii="Calibri" w:hAnsi="Calibri"/>
      <w:sz w:val="18"/>
      <w:szCs w:val="18"/>
    </w:rPr>
  </w:style>
  <w:style w:type="paragraph" w:styleId="21">
    <w:name w:val="Body Text 2"/>
    <w:basedOn w:val="1"/>
    <w:link w:val="42"/>
    <w:qFormat/>
    <w:uiPriority w:val="99"/>
    <w:pPr>
      <w:widowControl/>
      <w:overflowPunct w:val="0"/>
      <w:autoSpaceDE w:val="0"/>
      <w:autoSpaceDN w:val="0"/>
      <w:adjustRightInd w:val="0"/>
      <w:spacing w:line="360" w:lineRule="auto"/>
      <w:ind w:firstLine="480" w:firstLineChars="200"/>
      <w:textAlignment w:val="baseline"/>
    </w:pPr>
    <w:rPr>
      <w:rFonts w:ascii="宋体" w:hAnsi="宋体" w:cs="宋体"/>
      <w:color w:val="000000"/>
      <w:kern w:val="0"/>
      <w:sz w:val="24"/>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annotation subject"/>
    <w:basedOn w:val="7"/>
    <w:next w:val="7"/>
    <w:link w:val="43"/>
    <w:semiHidden/>
    <w:qFormat/>
    <w:uiPriority w:val="99"/>
    <w:rPr>
      <w:b/>
      <w:bCs/>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rPr>
  </w:style>
  <w:style w:type="character" w:styleId="28">
    <w:name w:val="page number"/>
    <w:basedOn w:val="26"/>
    <w:qFormat/>
    <w:uiPriority w:val="99"/>
    <w:rPr>
      <w:rFonts w:cs="Times New Roman"/>
    </w:rPr>
  </w:style>
  <w:style w:type="character" w:styleId="29">
    <w:name w:val="Emphasis"/>
    <w:basedOn w:val="26"/>
    <w:qFormat/>
    <w:uiPriority w:val="99"/>
    <w:rPr>
      <w:rFonts w:cs="Times New Roman"/>
      <w:i/>
    </w:rPr>
  </w:style>
  <w:style w:type="character" w:styleId="30">
    <w:name w:val="Hyperlink"/>
    <w:basedOn w:val="26"/>
    <w:qFormat/>
    <w:uiPriority w:val="99"/>
    <w:rPr>
      <w:rFonts w:cs="Times New Roman"/>
      <w:color w:val="0000FF"/>
      <w:u w:val="single"/>
    </w:rPr>
  </w:style>
  <w:style w:type="character" w:styleId="31">
    <w:name w:val="annotation reference"/>
    <w:basedOn w:val="26"/>
    <w:semiHidden/>
    <w:qFormat/>
    <w:uiPriority w:val="99"/>
    <w:rPr>
      <w:rFonts w:cs="Times New Roman"/>
      <w:sz w:val="21"/>
    </w:rPr>
  </w:style>
  <w:style w:type="character" w:customStyle="1" w:styleId="32">
    <w:name w:val="Heading 1 Char"/>
    <w:basedOn w:val="26"/>
    <w:qFormat/>
    <w:locked/>
    <w:uiPriority w:val="99"/>
    <w:rPr>
      <w:rFonts w:eastAsia="宋体" w:cs="Times New Roman"/>
      <w:b/>
      <w:kern w:val="44"/>
      <w:sz w:val="44"/>
      <w:lang w:val="en-US" w:eastAsia="zh-CN"/>
    </w:rPr>
  </w:style>
  <w:style w:type="character" w:customStyle="1" w:styleId="33">
    <w:name w:val="标题 2 Char"/>
    <w:basedOn w:val="26"/>
    <w:link w:val="3"/>
    <w:qFormat/>
    <w:locked/>
    <w:uiPriority w:val="99"/>
    <w:rPr>
      <w:rFonts w:ascii="Arial" w:hAnsi="Arial" w:eastAsia="黑体" w:cs="Times New Roman"/>
      <w:b/>
      <w:bCs/>
      <w:sz w:val="32"/>
      <w:szCs w:val="32"/>
    </w:rPr>
  </w:style>
  <w:style w:type="character" w:customStyle="1" w:styleId="34">
    <w:name w:val="标题 3 Char"/>
    <w:basedOn w:val="26"/>
    <w:link w:val="4"/>
    <w:qFormat/>
    <w:locked/>
    <w:uiPriority w:val="99"/>
    <w:rPr>
      <w:rFonts w:ascii="Times New Roman" w:hAnsi="Times New Roman" w:eastAsia="宋体" w:cs="Times New Roman"/>
      <w:b/>
      <w:bCs/>
      <w:sz w:val="32"/>
      <w:szCs w:val="32"/>
    </w:rPr>
  </w:style>
  <w:style w:type="character" w:customStyle="1" w:styleId="35">
    <w:name w:val="文档结构图 Char"/>
    <w:basedOn w:val="26"/>
    <w:link w:val="6"/>
    <w:semiHidden/>
    <w:qFormat/>
    <w:locked/>
    <w:uiPriority w:val="99"/>
    <w:rPr>
      <w:rFonts w:ascii="Times New Roman" w:hAnsi="Times New Roman" w:eastAsia="宋体" w:cs="Times New Roman"/>
      <w:sz w:val="24"/>
      <w:szCs w:val="24"/>
      <w:shd w:val="clear" w:color="auto" w:fill="000080"/>
    </w:rPr>
  </w:style>
  <w:style w:type="character" w:customStyle="1" w:styleId="36">
    <w:name w:val="批注文字 Char"/>
    <w:basedOn w:val="26"/>
    <w:link w:val="7"/>
    <w:qFormat/>
    <w:locked/>
    <w:uiPriority w:val="99"/>
    <w:rPr>
      <w:rFonts w:ascii="Times New Roman" w:hAnsi="Times New Roman" w:eastAsia="宋体" w:cs="Times New Roman"/>
      <w:sz w:val="24"/>
      <w:szCs w:val="24"/>
    </w:rPr>
  </w:style>
  <w:style w:type="character" w:customStyle="1" w:styleId="37">
    <w:name w:val="纯文本 Char"/>
    <w:basedOn w:val="26"/>
    <w:link w:val="10"/>
    <w:qFormat/>
    <w:locked/>
    <w:uiPriority w:val="99"/>
    <w:rPr>
      <w:rFonts w:ascii="宋体" w:hAnsi="Courier New" w:eastAsia="宋体" w:cs="Courier New"/>
      <w:sz w:val="21"/>
      <w:szCs w:val="21"/>
    </w:rPr>
  </w:style>
  <w:style w:type="character" w:customStyle="1" w:styleId="38">
    <w:name w:val="日期 Char"/>
    <w:basedOn w:val="26"/>
    <w:link w:val="12"/>
    <w:qFormat/>
    <w:locked/>
    <w:uiPriority w:val="99"/>
    <w:rPr>
      <w:rFonts w:ascii="Times New Roman" w:hAnsi="Times New Roman" w:eastAsia="宋体" w:cs="Times New Roman"/>
      <w:sz w:val="24"/>
      <w:szCs w:val="24"/>
    </w:rPr>
  </w:style>
  <w:style w:type="character" w:customStyle="1" w:styleId="39">
    <w:name w:val="批注框文本 Char"/>
    <w:basedOn w:val="26"/>
    <w:link w:val="13"/>
    <w:qFormat/>
    <w:locked/>
    <w:uiPriority w:val="99"/>
    <w:rPr>
      <w:rFonts w:ascii="Heiti SC Light" w:hAnsi="Times New Roman" w:eastAsia="Times New Roman" w:cs="Times New Roman"/>
      <w:sz w:val="18"/>
      <w:szCs w:val="18"/>
    </w:rPr>
  </w:style>
  <w:style w:type="character" w:customStyle="1" w:styleId="40">
    <w:name w:val="页脚 Char"/>
    <w:basedOn w:val="26"/>
    <w:link w:val="14"/>
    <w:qFormat/>
    <w:locked/>
    <w:uiPriority w:val="99"/>
    <w:rPr>
      <w:rFonts w:cs="Times New Roman"/>
      <w:sz w:val="18"/>
      <w:szCs w:val="18"/>
    </w:rPr>
  </w:style>
  <w:style w:type="character" w:customStyle="1" w:styleId="41">
    <w:name w:val="页眉 Char"/>
    <w:basedOn w:val="26"/>
    <w:link w:val="15"/>
    <w:qFormat/>
    <w:locked/>
    <w:uiPriority w:val="99"/>
    <w:rPr>
      <w:rFonts w:cs="Times New Roman"/>
      <w:sz w:val="18"/>
      <w:szCs w:val="18"/>
    </w:rPr>
  </w:style>
  <w:style w:type="character" w:customStyle="1" w:styleId="42">
    <w:name w:val="正文文本 2 Char"/>
    <w:basedOn w:val="26"/>
    <w:link w:val="21"/>
    <w:qFormat/>
    <w:locked/>
    <w:uiPriority w:val="99"/>
    <w:rPr>
      <w:rFonts w:ascii="宋体" w:hAnsi="宋体" w:eastAsia="宋体" w:cs="宋体"/>
      <w:color w:val="000000"/>
      <w:kern w:val="0"/>
      <w:sz w:val="24"/>
      <w:szCs w:val="24"/>
    </w:rPr>
  </w:style>
  <w:style w:type="character" w:customStyle="1" w:styleId="43">
    <w:name w:val="批注主题 Char"/>
    <w:basedOn w:val="36"/>
    <w:link w:val="23"/>
    <w:semiHidden/>
    <w:qFormat/>
    <w:locked/>
    <w:uiPriority w:val="99"/>
    <w:rPr>
      <w:rFonts w:ascii="Times New Roman" w:hAnsi="Times New Roman" w:eastAsia="宋体" w:cs="Times New Roman"/>
      <w:b/>
      <w:bCs/>
      <w:sz w:val="24"/>
      <w:szCs w:val="24"/>
    </w:rPr>
  </w:style>
  <w:style w:type="character" w:customStyle="1" w:styleId="44">
    <w:name w:val="标题 1 Char"/>
    <w:basedOn w:val="26"/>
    <w:qFormat/>
    <w:locked/>
    <w:uiPriority w:val="99"/>
    <w:rPr>
      <w:rFonts w:ascii="Times New Roman" w:hAnsi="Times New Roman" w:eastAsia="宋体" w:cs="Times New Roman"/>
      <w:b/>
      <w:bCs/>
      <w:kern w:val="44"/>
      <w:sz w:val="44"/>
      <w:szCs w:val="44"/>
    </w:rPr>
  </w:style>
  <w:style w:type="character" w:customStyle="1" w:styleId="45">
    <w:name w:val="标题 1 Char1"/>
    <w:link w:val="2"/>
    <w:qFormat/>
    <w:locked/>
    <w:uiPriority w:val="99"/>
    <w:rPr>
      <w:rFonts w:ascii="Times New Roman" w:hAnsi="Times New Roman" w:eastAsia="宋体"/>
      <w:b/>
      <w:kern w:val="44"/>
      <w:sz w:val="20"/>
    </w:rPr>
  </w:style>
  <w:style w:type="character" w:customStyle="1" w:styleId="46">
    <w:name w:val="页眉 Char1"/>
    <w:qFormat/>
    <w:locked/>
    <w:uiPriority w:val="99"/>
    <w:rPr>
      <w:kern w:val="2"/>
      <w:sz w:val="18"/>
    </w:rPr>
  </w:style>
  <w:style w:type="paragraph" w:customStyle="1" w:styleId="47">
    <w:name w:val="一级标题"/>
    <w:basedOn w:val="1"/>
    <w:qFormat/>
    <w:uiPriority w:val="99"/>
    <w:pPr>
      <w:ind w:firstLine="420" w:firstLineChars="200"/>
      <w:outlineLvl w:val="2"/>
    </w:pPr>
    <w:rPr>
      <w:rFonts w:ascii="Arial" w:hAnsi="Arial" w:cs="Arial"/>
      <w:b/>
    </w:rPr>
  </w:style>
  <w:style w:type="paragraph" w:styleId="48">
    <w:name w:val="List Paragraph"/>
    <w:basedOn w:val="1"/>
    <w:qFormat/>
    <w:uiPriority w:val="99"/>
    <w:pPr>
      <w:ind w:firstLine="420" w:firstLineChars="200"/>
    </w:pPr>
  </w:style>
  <w:style w:type="paragraph" w:customStyle="1" w:styleId="49">
    <w:name w:val="1"/>
    <w:basedOn w:val="1"/>
    <w:qFormat/>
    <w:uiPriority w:val="99"/>
    <w:rPr>
      <w:rFonts w:ascii="Tahoma" w:hAnsi="Tahoma"/>
      <w:sz w:val="24"/>
      <w:szCs w:val="20"/>
    </w:rPr>
  </w:style>
  <w:style w:type="paragraph" w:customStyle="1" w:styleId="50">
    <w:name w:val="需求3级"/>
    <w:basedOn w:val="4"/>
    <w:next w:val="1"/>
    <w:qFormat/>
    <w:uiPriority w:val="99"/>
    <w:pPr>
      <w:spacing w:before="360" w:line="360" w:lineRule="auto"/>
    </w:pPr>
    <w:rPr>
      <w:rFonts w:ascii="方正小标宋简体" w:hAnsi="宋体" w:eastAsia="方正小标宋简体"/>
      <w:b w:val="0"/>
      <w:sz w:val="24"/>
      <w:szCs w:val="24"/>
    </w:rPr>
  </w:style>
  <w:style w:type="paragraph" w:customStyle="1" w:styleId="51">
    <w:name w:val="需求正文"/>
    <w:basedOn w:val="1"/>
    <w:qFormat/>
    <w:uiPriority w:val="99"/>
    <w:pPr>
      <w:spacing w:line="360" w:lineRule="auto"/>
      <w:ind w:firstLine="200" w:firstLineChars="200"/>
    </w:pPr>
    <w:rPr>
      <w:rFonts w:ascii="宋体" w:hAnsi="宋体"/>
      <w:sz w:val="24"/>
    </w:rPr>
  </w:style>
  <w:style w:type="paragraph" w:customStyle="1" w:styleId="52">
    <w:name w:val="List Paragraph1"/>
    <w:basedOn w:val="1"/>
    <w:qFormat/>
    <w:uiPriority w:val="99"/>
    <w:pPr>
      <w:ind w:firstLine="420" w:firstLineChars="200"/>
    </w:pPr>
  </w:style>
  <w:style w:type="character" w:customStyle="1" w:styleId="53">
    <w:name w:val="fck__anchor1"/>
    <w:qFormat/>
    <w:uiPriority w:val="99"/>
    <w:rPr>
      <w:bdr w:val="dotted" w:color="0000FF" w:sz="6" w:space="0"/>
    </w:rPr>
  </w:style>
  <w:style w:type="character" w:customStyle="1" w:styleId="54">
    <w:name w:val="未处理的提及1"/>
    <w:qFormat/>
    <w:uiPriority w:val="99"/>
    <w:rPr>
      <w:color w:val="808080"/>
      <w:shd w:val="clear" w:color="auto" w:fill="E6E6E6"/>
    </w:rPr>
  </w:style>
  <w:style w:type="paragraph" w:customStyle="1" w:styleId="55">
    <w:name w:val="SBBZW"/>
    <w:basedOn w:val="1"/>
    <w:qFormat/>
    <w:uiPriority w:val="0"/>
    <w:pPr>
      <w:spacing w:line="360" w:lineRule="auto"/>
      <w:ind w:firstLine="480" w:firstLineChars="200"/>
    </w:pPr>
    <w:rPr>
      <w:rFonts w:ascii="宋体" w:hAnsi="宋体"/>
      <w:sz w:val="24"/>
    </w:rPr>
  </w:style>
  <w:style w:type="paragraph" w:customStyle="1" w:styleId="56">
    <w:name w:val="SBBL1"/>
    <w:basedOn w:val="2"/>
    <w:qFormat/>
    <w:uiPriority w:val="99"/>
    <w:pPr>
      <w:spacing w:beforeLines="100" w:afterLines="150" w:line="360" w:lineRule="auto"/>
      <w:jc w:val="center"/>
    </w:pPr>
    <w:rPr>
      <w:rFonts w:ascii="方正小标宋简体" w:hAnsi="宋体" w:eastAsia="方正小标宋简体" w:cs="宋体"/>
      <w:b w:val="0"/>
      <w:sz w:val="28"/>
      <w:szCs w:val="28"/>
    </w:rPr>
  </w:style>
  <w:style w:type="paragraph" w:customStyle="1" w:styleId="57">
    <w:name w:val="SBBZEDD"/>
    <w:basedOn w:val="55"/>
    <w:qFormat/>
    <w:uiPriority w:val="99"/>
    <w:pPr>
      <w:numPr>
        <w:ilvl w:val="1"/>
        <w:numId w:val="1"/>
      </w:numPr>
      <w:ind w:firstLine="0" w:firstLineChars="0"/>
    </w:pPr>
  </w:style>
  <w:style w:type="paragraph" w:customStyle="1" w:styleId="58">
    <w:name w:val="SBBL2"/>
    <w:basedOn w:val="1"/>
    <w:qFormat/>
    <w:uiPriority w:val="99"/>
    <w:pPr>
      <w:spacing w:line="360" w:lineRule="auto"/>
      <w:ind w:firstLine="200" w:firstLineChars="200"/>
      <w:jc w:val="left"/>
      <w:outlineLvl w:val="1"/>
    </w:pPr>
    <w:rPr>
      <w:rFonts w:ascii="宋体" w:hAnsi="宋体" w:cs="Calibri"/>
      <w:b/>
      <w:sz w:val="24"/>
    </w:rPr>
  </w:style>
  <w:style w:type="paragraph" w:customStyle="1" w:styleId="59">
    <w:name w:val="SBBL3"/>
    <w:basedOn w:val="1"/>
    <w:qFormat/>
    <w:uiPriority w:val="99"/>
    <w:pPr>
      <w:spacing w:line="360" w:lineRule="auto"/>
      <w:ind w:firstLine="480" w:firstLineChars="200"/>
      <w:outlineLvl w:val="2"/>
    </w:pPr>
    <w:rPr>
      <w:rFonts w:ascii="黑体" w:hAnsi="黑体" w:eastAsia="黑体" w:cs="Calibri"/>
      <w:sz w:val="24"/>
    </w:rPr>
  </w:style>
  <w:style w:type="paragraph" w:customStyle="1" w:styleId="60">
    <w:name w:val="SBBT1"/>
    <w:basedOn w:val="55"/>
    <w:qFormat/>
    <w:uiPriority w:val="0"/>
    <w:pPr>
      <w:tabs>
        <w:tab w:val="center" w:pos="4678"/>
      </w:tabs>
      <w:ind w:firstLine="0" w:firstLineChars="0"/>
      <w:jc w:val="left"/>
      <w:outlineLvl w:val="0"/>
    </w:pPr>
    <w:rPr>
      <w:rFonts w:cs="宋体"/>
      <w:b/>
      <w:bCs/>
      <w:kern w:val="0"/>
      <w:sz w:val="28"/>
      <w:szCs w:val="28"/>
    </w:rPr>
  </w:style>
  <w:style w:type="paragraph" w:customStyle="1" w:styleId="61">
    <w:name w:val="SBBT2"/>
    <w:basedOn w:val="60"/>
    <w:qFormat/>
    <w:uiPriority w:val="0"/>
    <w:pPr>
      <w:tabs>
        <w:tab w:val="center" w:pos="6521"/>
        <w:tab w:val="clear" w:pos="4678"/>
      </w:tabs>
    </w:pPr>
  </w:style>
  <w:style w:type="character" w:customStyle="1" w:styleId="62">
    <w:name w:val="未处理的提及"/>
    <w:semiHidden/>
    <w:qFormat/>
    <w:uiPriority w:val="99"/>
    <w:rPr>
      <w:color w:val="808080"/>
      <w:shd w:val="clear" w:color="auto" w:fill="E6E6E6"/>
    </w:rPr>
  </w:style>
  <w:style w:type="character" w:styleId="63">
    <w:name w:val="Placeholder Text"/>
    <w:basedOn w:val="26"/>
    <w:semiHidden/>
    <w:qFormat/>
    <w:uiPriority w:val="99"/>
    <w:rPr>
      <w:rFonts w:cs="Times New Roman"/>
      <w:color w:val="808080"/>
    </w:rPr>
  </w:style>
  <w:style w:type="paragraph" w:customStyle="1" w:styleId="64">
    <w:name w:val="目录 41"/>
    <w:basedOn w:val="1"/>
    <w:next w:val="1"/>
    <w:qFormat/>
    <w:uiPriority w:val="99"/>
    <w:pPr>
      <w:ind w:left="630"/>
      <w:jc w:val="left"/>
    </w:pPr>
    <w:rPr>
      <w:rFonts w:ascii="Calibri" w:hAnsi="Calibri" w:cs="Calibri"/>
      <w:sz w:val="18"/>
      <w:szCs w:val="18"/>
    </w:rPr>
  </w:style>
  <w:style w:type="paragraph" w:customStyle="1" w:styleId="65">
    <w:name w:val="ZBBZWBg"/>
    <w:basedOn w:val="55"/>
    <w:qFormat/>
    <w:uiPriority w:val="99"/>
    <w:pPr>
      <w:ind w:firstLine="0" w:firstLineChars="0"/>
      <w:jc w:val="center"/>
    </w:pPr>
    <w:rPr>
      <w:rFonts w:cs="宋体"/>
      <w:b/>
      <w:bCs/>
    </w:rPr>
  </w:style>
  <w:style w:type="paragraph" w:customStyle="1" w:styleId="66">
    <w:name w:val="目录 11"/>
    <w:basedOn w:val="1"/>
    <w:next w:val="1"/>
    <w:uiPriority w:val="99"/>
    <w:pPr>
      <w:spacing w:before="120" w:after="120"/>
      <w:jc w:val="left"/>
    </w:pPr>
    <w:rPr>
      <w:rFonts w:ascii="Calibri" w:hAnsi="Calibri" w:cs="Calibri"/>
      <w:b/>
      <w:bCs/>
      <w:caps/>
      <w:sz w:val="20"/>
      <w:szCs w:val="20"/>
    </w:rPr>
  </w:style>
  <w:style w:type="paragraph" w:customStyle="1" w:styleId="67">
    <w:name w:val="目录 21"/>
    <w:basedOn w:val="1"/>
    <w:next w:val="1"/>
    <w:uiPriority w:val="99"/>
    <w:pPr>
      <w:ind w:left="210"/>
      <w:jc w:val="left"/>
    </w:pPr>
    <w:rPr>
      <w:rFonts w:ascii="Calibri" w:hAnsi="Calibri" w:cs="Calibri"/>
      <w:smallCaps/>
      <w:sz w:val="20"/>
      <w:szCs w:val="20"/>
    </w:rPr>
  </w:style>
  <w:style w:type="paragraph" w:customStyle="1" w:styleId="68">
    <w:name w:val="目录 31"/>
    <w:basedOn w:val="1"/>
    <w:next w:val="1"/>
    <w:qFormat/>
    <w:uiPriority w:val="99"/>
    <w:pPr>
      <w:ind w:left="420"/>
      <w:jc w:val="left"/>
    </w:pPr>
    <w:rPr>
      <w:rFonts w:ascii="Calibri" w:hAnsi="Calibri" w:cs="Calibri"/>
      <w:i/>
      <w:iCs/>
      <w:sz w:val="20"/>
      <w:szCs w:val="20"/>
    </w:rPr>
  </w:style>
  <w:style w:type="paragraph" w:customStyle="1" w:styleId="69">
    <w:name w:val="目录 51"/>
    <w:basedOn w:val="1"/>
    <w:next w:val="1"/>
    <w:uiPriority w:val="99"/>
    <w:pPr>
      <w:ind w:left="840"/>
      <w:jc w:val="left"/>
    </w:pPr>
    <w:rPr>
      <w:rFonts w:ascii="Calibri" w:hAnsi="Calibri" w:cs="Calibri"/>
      <w:sz w:val="18"/>
      <w:szCs w:val="18"/>
    </w:rPr>
  </w:style>
  <w:style w:type="paragraph" w:customStyle="1" w:styleId="70">
    <w:name w:val="目录 61"/>
    <w:basedOn w:val="1"/>
    <w:next w:val="1"/>
    <w:uiPriority w:val="99"/>
    <w:pPr>
      <w:ind w:left="1050"/>
      <w:jc w:val="left"/>
    </w:pPr>
    <w:rPr>
      <w:rFonts w:ascii="Calibri" w:hAnsi="Calibri" w:cs="Calibri"/>
      <w:sz w:val="18"/>
      <w:szCs w:val="18"/>
    </w:rPr>
  </w:style>
  <w:style w:type="paragraph" w:customStyle="1" w:styleId="71">
    <w:name w:val="目录 71"/>
    <w:basedOn w:val="1"/>
    <w:next w:val="1"/>
    <w:uiPriority w:val="99"/>
    <w:pPr>
      <w:ind w:left="1260"/>
      <w:jc w:val="left"/>
    </w:pPr>
    <w:rPr>
      <w:rFonts w:ascii="Calibri" w:hAnsi="Calibri" w:cs="Calibri"/>
      <w:sz w:val="18"/>
      <w:szCs w:val="18"/>
    </w:rPr>
  </w:style>
  <w:style w:type="paragraph" w:customStyle="1" w:styleId="72">
    <w:name w:val="目录 81"/>
    <w:basedOn w:val="1"/>
    <w:next w:val="1"/>
    <w:uiPriority w:val="99"/>
    <w:pPr>
      <w:ind w:left="1470"/>
      <w:jc w:val="left"/>
    </w:pPr>
    <w:rPr>
      <w:rFonts w:ascii="Calibri" w:hAnsi="Calibri" w:cs="Calibri"/>
      <w:sz w:val="18"/>
      <w:szCs w:val="18"/>
    </w:rPr>
  </w:style>
  <w:style w:type="paragraph" w:customStyle="1" w:styleId="73">
    <w:name w:val="目录 91"/>
    <w:basedOn w:val="1"/>
    <w:next w:val="1"/>
    <w:uiPriority w:val="99"/>
    <w:pPr>
      <w:ind w:left="1680"/>
      <w:jc w:val="left"/>
    </w:pPr>
    <w:rPr>
      <w:rFonts w:ascii="Calibri" w:hAnsi="Calibri" w:cs="Calibri"/>
      <w:sz w:val="18"/>
      <w:szCs w:val="18"/>
    </w:rPr>
  </w:style>
  <w:style w:type="paragraph" w:customStyle="1" w:styleId="74">
    <w:name w:val="列出段落1"/>
    <w:basedOn w:val="1"/>
    <w:uiPriority w:val="99"/>
    <w:pPr>
      <w:ind w:firstLine="420" w:firstLineChars="200"/>
    </w:pPr>
    <w:rPr>
      <w:szCs w:val="21"/>
    </w:rPr>
  </w:style>
  <w:style w:type="character" w:customStyle="1" w:styleId="75">
    <w:name w:val="未处理的提及2"/>
    <w:qFormat/>
    <w:uiPriority w:val="99"/>
    <w:rPr>
      <w:color w:val="808080"/>
      <w:shd w:val="clear" w:color="auto" w:fill="auto"/>
    </w:rPr>
  </w:style>
  <w:style w:type="character" w:customStyle="1" w:styleId="76">
    <w:name w:val="占位符文本1"/>
    <w:semiHidden/>
    <w:qFormat/>
    <w:uiPriority w:val="99"/>
    <w:rPr>
      <w:color w:val="808080"/>
    </w:rPr>
  </w:style>
  <w:style w:type="paragraph" w:customStyle="1" w:styleId="77">
    <w:name w:val="列出段落2"/>
    <w:basedOn w:val="1"/>
    <w:qFormat/>
    <w:uiPriority w:val="99"/>
    <w:pPr>
      <w:ind w:firstLine="420" w:firstLineChars="200"/>
    </w:pPr>
    <w:rPr>
      <w:szCs w:val="21"/>
    </w:rPr>
  </w:style>
  <w:style w:type="paragraph" w:customStyle="1" w:styleId="78">
    <w:name w:val="Char Char Char"/>
    <w:basedOn w:val="1"/>
    <w:qFormat/>
    <w:uiPriority w:val="99"/>
    <w:rPr>
      <w:rFonts w:ascii="Tahoma" w:hAnsi="Tahoma" w:cs="Tahoma"/>
      <w:sz w:val="24"/>
    </w:rPr>
  </w:style>
  <w:style w:type="character" w:customStyle="1" w:styleId="79">
    <w:name w:val="font31"/>
    <w:uiPriority w:val="99"/>
    <w:rPr>
      <w:rFonts w:ascii="宋体" w:hAnsi="宋体" w:eastAsia="宋体"/>
      <w:color w:val="FF0000"/>
      <w:sz w:val="20"/>
      <w:u w:val="none"/>
    </w:rPr>
  </w:style>
  <w:style w:type="character" w:customStyle="1" w:styleId="80">
    <w:name w:val="font51"/>
    <w:qFormat/>
    <w:uiPriority w:val="99"/>
    <w:rPr>
      <w:rFonts w:ascii="宋体" w:hAnsi="宋体" w:eastAsia="宋体"/>
      <w:color w:val="000000"/>
      <w:sz w:val="20"/>
      <w:u w:val="none"/>
    </w:rPr>
  </w:style>
  <w:style w:type="character" w:customStyle="1" w:styleId="81">
    <w:name w:val="font01"/>
    <w:qFormat/>
    <w:uiPriority w:val="99"/>
    <w:rPr>
      <w:rFonts w:ascii="宋体" w:hAnsi="宋体" w:eastAsia="宋体"/>
      <w:color w:val="000000"/>
      <w:sz w:val="20"/>
      <w:u w:val="none"/>
    </w:rPr>
  </w:style>
  <w:style w:type="character" w:customStyle="1" w:styleId="82">
    <w:name w:val="font41"/>
    <w:qFormat/>
    <w:uiPriority w:val="99"/>
    <w:rPr>
      <w:rFonts w:ascii="宋体" w:hAnsi="宋体" w:eastAsia="宋体"/>
      <w:color w:val="000000"/>
      <w:sz w:val="20"/>
      <w:u w:val="none"/>
    </w:rPr>
  </w:style>
  <w:style w:type="character" w:customStyle="1" w:styleId="83">
    <w:name w:val="font11"/>
    <w:qFormat/>
    <w:uiPriority w:val="99"/>
    <w:rPr>
      <w:rFonts w:ascii="宋体" w:hAnsi="宋体" w:eastAsia="宋体"/>
      <w:color w:val="000000"/>
      <w:sz w:val="20"/>
      <w:u w:val="none"/>
    </w:rPr>
  </w:style>
  <w:style w:type="paragraph" w:customStyle="1" w:styleId="84">
    <w:name w:val="列表段落1"/>
    <w:basedOn w:val="1"/>
    <w:qFormat/>
    <w:uiPriority w:val="99"/>
    <w:pPr>
      <w:ind w:firstLine="420" w:firstLineChars="200"/>
    </w:pPr>
    <w:rPr>
      <w:szCs w:val="21"/>
    </w:rPr>
  </w:style>
  <w:style w:type="paragraph" w:customStyle="1" w:styleId="85">
    <w:name w:val="_Style 8"/>
    <w:basedOn w:val="1"/>
    <w:qFormat/>
    <w:uiPriority w:val="99"/>
    <w:rPr>
      <w:rFonts w:ascii="Tahoma" w:hAnsi="Tahoma"/>
      <w:sz w:val="24"/>
      <w:szCs w:val="20"/>
    </w:rPr>
  </w:style>
  <w:style w:type="paragraph" w:customStyle="1" w:styleId="86">
    <w:name w:val="竖表标题不含说明"/>
    <w:basedOn w:val="87"/>
    <w:qFormat/>
    <w:uiPriority w:val="99"/>
    <w:pPr>
      <w:tabs>
        <w:tab w:val="center" w:pos="4820"/>
      </w:tabs>
      <w:spacing w:beforeLines="0" w:afterLines="0" w:line="240" w:lineRule="auto"/>
    </w:pPr>
  </w:style>
  <w:style w:type="paragraph" w:customStyle="1" w:styleId="87">
    <w:name w:val="竖表标题1级"/>
    <w:basedOn w:val="60"/>
    <w:qFormat/>
    <w:uiPriority w:val="99"/>
    <w:pPr>
      <w:tabs>
        <w:tab w:val="center" w:pos="4820"/>
        <w:tab w:val="clear" w:pos="4678"/>
      </w:tabs>
      <w:spacing w:beforeLines="100" w:afterLines="100"/>
    </w:pPr>
  </w:style>
  <w:style w:type="paragraph" w:customStyle="1" w:styleId="88">
    <w:name w:val="TOC Heading1"/>
    <w:basedOn w:val="2"/>
    <w:next w:val="1"/>
    <w:qFormat/>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89">
    <w:name w:val="列出段落3"/>
    <w:basedOn w:val="1"/>
    <w:qFormat/>
    <w:uiPriority w:val="0"/>
    <w:pPr>
      <w:ind w:firstLine="420" w:firstLineChars="200"/>
    </w:pPr>
  </w:style>
  <w:style w:type="paragraph" w:customStyle="1" w:styleId="90">
    <w:name w:val="表格1级"/>
    <w:basedOn w:val="1"/>
    <w:uiPriority w:val="0"/>
    <w:pPr>
      <w:tabs>
        <w:tab w:val="left" w:pos="210"/>
        <w:tab w:val="center" w:pos="4620"/>
      </w:tabs>
      <w:spacing w:before="50" w:beforeLines="50" w:after="50" w:afterLines="50"/>
      <w:jc w:val="center"/>
      <w:outlineLvl w:val="0"/>
    </w:pPr>
    <w:rPr>
      <w:rFonts w:eastAsia="CESI宋体-GB2312"/>
      <w:b/>
      <w:sz w:val="28"/>
    </w:rPr>
  </w:style>
  <w:style w:type="paragraph" w:customStyle="1" w:styleId="91">
    <w:name w:val="说明1级"/>
    <w:basedOn w:val="1"/>
    <w:uiPriority w:val="0"/>
    <w:pPr>
      <w:tabs>
        <w:tab w:val="center" w:pos="4200"/>
      </w:tabs>
      <w:spacing w:before="50" w:beforeLines="50" w:after="50" w:afterLines="50" w:line="360" w:lineRule="auto"/>
      <w:jc w:val="center"/>
      <w:outlineLvl w:val="0"/>
    </w:pPr>
    <w:rPr>
      <w:rFonts w:eastAsia="CESI宋体-GB2312"/>
      <w:b/>
      <w:sz w:val="28"/>
    </w:rPr>
  </w:style>
  <w:style w:type="paragraph" w:customStyle="1" w:styleId="92">
    <w:name w:val="填报说明正文"/>
    <w:basedOn w:val="1"/>
    <w:link w:val="93"/>
    <w:qFormat/>
    <w:uiPriority w:val="0"/>
    <w:pPr>
      <w:spacing w:line="480" w:lineRule="exact"/>
      <w:ind w:firstLine="640" w:firstLineChars="200"/>
    </w:pPr>
    <w:rPr>
      <w:rFonts w:eastAsia="CESI宋体-GB2312"/>
      <w:sz w:val="24"/>
    </w:rPr>
  </w:style>
  <w:style w:type="character" w:customStyle="1" w:styleId="93">
    <w:name w:val="填报说明正文 Char"/>
    <w:link w:val="92"/>
    <w:uiPriority w:val="0"/>
    <w:rPr>
      <w:rFonts w:eastAsia="CESI宋体-GB2312"/>
      <w:kern w:val="2"/>
      <w:sz w:val="24"/>
      <w:szCs w:val="24"/>
    </w:rPr>
  </w:style>
  <w:style w:type="paragraph" w:customStyle="1" w:styleId="94">
    <w:name w:val="文章内表格标题"/>
    <w:basedOn w:val="1"/>
    <w:qFormat/>
    <w:uiPriority w:val="0"/>
    <w:pPr>
      <w:snapToGrid w:val="0"/>
      <w:spacing w:line="520" w:lineRule="exact"/>
      <w:jc w:val="center"/>
    </w:pPr>
    <w:rPr>
      <w:rFonts w:eastAsia="CESI宋体-GB2312"/>
      <w:b/>
      <w:sz w:val="24"/>
    </w:rPr>
  </w:style>
  <w:style w:type="paragraph" w:customStyle="1" w:styleId="95">
    <w:name w:val="说明2级"/>
    <w:basedOn w:val="1"/>
    <w:qFormat/>
    <w:uiPriority w:val="0"/>
    <w:pPr>
      <w:spacing w:before="50" w:beforeLines="50" w:line="360" w:lineRule="auto"/>
      <w:ind w:firstLine="640" w:firstLineChars="200"/>
      <w:outlineLvl w:val="1"/>
    </w:pPr>
    <w:rPr>
      <w:rFonts w:eastAsia="CESI黑体-GB2312"/>
      <w:sz w:val="24"/>
    </w:rPr>
  </w:style>
  <w:style w:type="table" w:customStyle="1" w:styleId="96">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6281</Words>
  <Characters>7178</Characters>
  <Lines>47</Lines>
  <Paragraphs>13</Paragraphs>
  <TotalTime>2</TotalTime>
  <ScaleCrop>false</ScaleCrop>
  <LinksUpToDate>false</LinksUpToDate>
  <CharactersWithSpaces>7250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2022-01-08T09:29:00Z</dcterms:created>
  <dc:creator>曹凯</dc:creator>
  <cp:lastModifiedBy>默默</cp:lastModifiedBy>
  <cp:lastPrinted>2018-01-30T01:54:00Z</cp:lastPrinted>
  <dcterms:modified xsi:type="dcterms:W3CDTF">2023-01-14T11:55:42Z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20395D44ACC94D2FA8C7E165E3ACC0F6</vt:lpwstr>
  </property>
</Properties>
</file>