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pPr>
      <w:bookmarkStart w:id="0" w:name="_Toc535314740"/>
      <w:bookmarkStart w:id="1" w:name="_Toc393480213"/>
      <w:r>
        <w:t>A105100</w:t>
      </w:r>
      <w:r>
        <w:tab/>
      </w:r>
      <w:r>
        <w:rPr>
          <w:rFonts w:hint="eastAsia"/>
        </w:rPr>
        <w:t>企业重组及递延纳税事项纳税调整明细表</w:t>
      </w:r>
      <w:bookmarkEnd w:id="0"/>
    </w:p>
    <w:tbl>
      <w:tblPr>
        <w:tblStyle w:val="96"/>
        <w:tblW w:w="14838" w:type="dxa"/>
        <w:tblInd w:w="-440" w:type="dxa"/>
        <w:tblLayout w:type="autofit"/>
        <w:tblCellMar>
          <w:top w:w="74" w:type="dxa"/>
          <w:left w:w="109" w:type="dxa"/>
          <w:bottom w:w="0" w:type="dxa"/>
          <w:right w:w="81" w:type="dxa"/>
        </w:tblCellMar>
      </w:tblPr>
      <w:tblGrid>
        <w:gridCol w:w="677"/>
        <w:gridCol w:w="6144"/>
        <w:gridCol w:w="1125"/>
        <w:gridCol w:w="1290"/>
        <w:gridCol w:w="975"/>
        <w:gridCol w:w="1087"/>
        <w:gridCol w:w="1180"/>
        <w:gridCol w:w="1180"/>
        <w:gridCol w:w="1180"/>
      </w:tblGrid>
      <w:tr>
        <w:tblPrEx>
          <w:tblCellMar>
            <w:top w:w="74" w:type="dxa"/>
            <w:left w:w="109" w:type="dxa"/>
            <w:bottom w:w="0" w:type="dxa"/>
            <w:right w:w="81" w:type="dxa"/>
          </w:tblCellMar>
        </w:tblPrEx>
        <w:trPr>
          <w:trHeight w:val="355" w:hRule="atLeast"/>
        </w:trPr>
        <w:tc>
          <w:tcPr>
            <w:tcW w:w="677" w:type="dxa"/>
            <w:vMerge w:val="restart"/>
            <w:tcBorders>
              <w:top w:val="single" w:color="000000" w:sz="12" w:space="0"/>
              <w:left w:val="single" w:color="000000" w:sz="12" w:space="0"/>
              <w:bottom w:val="single" w:color="000000" w:sz="12" w:space="0"/>
              <w:right w:val="single" w:color="000000" w:sz="6" w:space="0"/>
            </w:tcBorders>
            <w:vAlign w:val="center"/>
          </w:tcPr>
          <w:p>
            <w:pPr>
              <w:spacing w:after="0" w:line="259" w:lineRule="auto"/>
              <w:ind w:left="29" w:firstLine="0"/>
              <w:jc w:val="both"/>
            </w:pPr>
            <w:r>
              <w:rPr>
                <w:sz w:val="20"/>
              </w:rPr>
              <w:t>行次</w:t>
            </w:r>
          </w:p>
        </w:tc>
        <w:tc>
          <w:tcPr>
            <w:tcW w:w="6144" w:type="dxa"/>
            <w:vMerge w:val="restart"/>
            <w:tcBorders>
              <w:top w:val="single" w:color="000000" w:sz="12" w:space="0"/>
              <w:left w:val="single" w:color="000000" w:sz="6" w:space="0"/>
              <w:bottom w:val="single" w:color="000000" w:sz="12" w:space="0"/>
              <w:right w:val="single" w:color="000000" w:sz="6" w:space="0"/>
            </w:tcBorders>
            <w:vAlign w:val="center"/>
          </w:tcPr>
          <w:p>
            <w:pPr>
              <w:tabs>
                <w:tab w:val="center" w:pos="2463"/>
                <w:tab w:val="center" w:pos="3462"/>
              </w:tabs>
              <w:spacing w:after="0" w:line="259" w:lineRule="auto"/>
              <w:ind w:left="0" w:firstLine="0"/>
            </w:pPr>
            <w:r>
              <w:rPr>
                <w:rFonts w:ascii="Calibri" w:hAnsi="Calibri" w:eastAsia="Calibri" w:cs="Calibri"/>
                <w:sz w:val="22"/>
              </w:rPr>
              <w:tab/>
            </w:r>
            <w:r>
              <w:rPr>
                <w:sz w:val="20"/>
              </w:rPr>
              <w:t>项</w:t>
            </w:r>
            <w:r>
              <w:rPr>
                <w:sz w:val="20"/>
              </w:rPr>
              <w:tab/>
            </w:r>
            <w:r>
              <w:rPr>
                <w:sz w:val="20"/>
              </w:rPr>
              <w:t>目</w:t>
            </w:r>
          </w:p>
        </w:tc>
        <w:tc>
          <w:tcPr>
            <w:tcW w:w="3390" w:type="dxa"/>
            <w:gridSpan w:val="3"/>
            <w:tcBorders>
              <w:top w:val="single" w:color="000000" w:sz="12" w:space="0"/>
              <w:left w:val="single" w:color="000000" w:sz="6" w:space="0"/>
              <w:bottom w:val="single" w:color="000000" w:sz="6" w:space="0"/>
              <w:right w:val="single" w:color="000000" w:sz="6" w:space="0"/>
            </w:tcBorders>
          </w:tcPr>
          <w:p>
            <w:pPr>
              <w:spacing w:after="0" w:line="259" w:lineRule="auto"/>
              <w:ind w:left="0" w:right="30" w:firstLine="0"/>
              <w:jc w:val="center"/>
            </w:pPr>
            <w:r>
              <w:rPr>
                <w:sz w:val="20"/>
              </w:rPr>
              <w:t>一般性税务处理</w:t>
            </w:r>
          </w:p>
        </w:tc>
        <w:tc>
          <w:tcPr>
            <w:tcW w:w="3447" w:type="dxa"/>
            <w:gridSpan w:val="3"/>
            <w:tcBorders>
              <w:top w:val="single" w:color="000000" w:sz="12" w:space="0"/>
              <w:left w:val="single" w:color="000000" w:sz="6" w:space="0"/>
              <w:bottom w:val="single" w:color="000000" w:sz="6" w:space="0"/>
              <w:right w:val="single" w:color="000000" w:sz="6" w:space="0"/>
            </w:tcBorders>
          </w:tcPr>
          <w:p>
            <w:pPr>
              <w:spacing w:after="0" w:line="259" w:lineRule="auto"/>
              <w:ind w:left="0" w:right="32" w:firstLine="0"/>
              <w:jc w:val="center"/>
            </w:pPr>
            <w:r>
              <w:rPr>
                <w:sz w:val="20"/>
              </w:rPr>
              <w:t>特殊性税务处理（递延纳税）</w:t>
            </w:r>
          </w:p>
        </w:tc>
        <w:tc>
          <w:tcPr>
            <w:tcW w:w="1180" w:type="dxa"/>
            <w:vMerge w:val="restart"/>
            <w:tcBorders>
              <w:top w:val="single" w:color="000000" w:sz="12" w:space="0"/>
              <w:left w:val="single" w:color="000000" w:sz="6" w:space="0"/>
              <w:bottom w:val="single" w:color="000000" w:sz="6" w:space="0"/>
              <w:right w:val="single" w:color="000000" w:sz="12" w:space="0"/>
            </w:tcBorders>
            <w:vAlign w:val="center"/>
          </w:tcPr>
          <w:p>
            <w:pPr>
              <w:spacing w:after="0" w:line="259" w:lineRule="auto"/>
              <w:ind w:left="0" w:firstLine="0"/>
              <w:jc w:val="center"/>
            </w:pPr>
            <w:r>
              <w:rPr>
                <w:sz w:val="20"/>
              </w:rPr>
              <w:t>纳税调整金额</w:t>
            </w:r>
          </w:p>
        </w:tc>
      </w:tr>
      <w:tr>
        <w:tblPrEx>
          <w:tblCellMar>
            <w:top w:w="74" w:type="dxa"/>
            <w:left w:w="109" w:type="dxa"/>
            <w:bottom w:w="0" w:type="dxa"/>
            <w:right w:w="81" w:type="dxa"/>
          </w:tblCellMar>
        </w:tblPrEx>
        <w:trPr>
          <w:trHeight w:val="679" w:hRule="atLeast"/>
        </w:trPr>
        <w:tc>
          <w:tcPr>
            <w:tcW w:w="0" w:type="auto"/>
            <w:vMerge w:val="continue"/>
            <w:tcBorders>
              <w:top w:val="nil"/>
              <w:left w:val="single" w:color="000000" w:sz="12" w:space="0"/>
              <w:bottom w:val="nil"/>
              <w:right w:val="single" w:color="000000" w:sz="6" w:space="0"/>
            </w:tcBorders>
          </w:tcPr>
          <w:p>
            <w:pPr>
              <w:spacing w:after="160" w:line="259" w:lineRule="auto"/>
              <w:ind w:left="0" w:firstLine="0"/>
            </w:pPr>
          </w:p>
        </w:tc>
        <w:tc>
          <w:tcPr>
            <w:tcW w:w="0" w:type="auto"/>
            <w:vMerge w:val="continue"/>
            <w:tcBorders>
              <w:top w:val="nil"/>
              <w:left w:val="single" w:color="000000" w:sz="6" w:space="0"/>
              <w:bottom w:val="nil"/>
              <w:right w:val="single" w:color="000000" w:sz="6" w:space="0"/>
            </w:tcBorders>
          </w:tcPr>
          <w:p>
            <w:pPr>
              <w:spacing w:after="160" w:line="259" w:lineRule="auto"/>
              <w:ind w:left="0" w:firstLine="0"/>
            </w:pPr>
          </w:p>
        </w:tc>
        <w:tc>
          <w:tcPr>
            <w:tcW w:w="1125"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53" w:firstLine="0"/>
              <w:jc w:val="both"/>
            </w:pPr>
            <w:r>
              <w:rPr>
                <w:sz w:val="20"/>
              </w:rPr>
              <w:t>账载金额</w:t>
            </w:r>
          </w:p>
        </w:tc>
        <w:tc>
          <w:tcPr>
            <w:tcW w:w="129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37" w:firstLine="0"/>
            </w:pPr>
            <w:r>
              <w:rPr>
                <w:sz w:val="20"/>
              </w:rPr>
              <w:t>税收金额</w:t>
            </w:r>
          </w:p>
        </w:tc>
        <w:tc>
          <w:tcPr>
            <w:tcW w:w="975"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20"/>
              </w:rPr>
              <w:t>纳税调整金额</w:t>
            </w:r>
          </w:p>
        </w:tc>
        <w:tc>
          <w:tcPr>
            <w:tcW w:w="108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35" w:firstLine="0"/>
              <w:jc w:val="both"/>
            </w:pPr>
            <w:r>
              <w:rPr>
                <w:sz w:val="20"/>
              </w:rPr>
              <w:t>账载金额</w:t>
            </w:r>
          </w:p>
        </w:tc>
        <w:tc>
          <w:tcPr>
            <w:tcW w:w="118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81" w:firstLine="0"/>
              <w:jc w:val="both"/>
            </w:pPr>
            <w:r>
              <w:rPr>
                <w:sz w:val="20"/>
              </w:rPr>
              <w:t>税收金额</w:t>
            </w:r>
          </w:p>
        </w:tc>
        <w:tc>
          <w:tcPr>
            <w:tcW w:w="118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center"/>
            </w:pPr>
            <w:r>
              <w:rPr>
                <w:sz w:val="20"/>
              </w:rPr>
              <w:t>纳税调整金额</w:t>
            </w:r>
          </w:p>
        </w:tc>
        <w:tc>
          <w:tcPr>
            <w:tcW w:w="0" w:type="auto"/>
            <w:vMerge w:val="continue"/>
            <w:tcBorders>
              <w:top w:val="nil"/>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54" w:hRule="atLeast"/>
        </w:trPr>
        <w:tc>
          <w:tcPr>
            <w:tcW w:w="0" w:type="auto"/>
            <w:vMerge w:val="continue"/>
            <w:tcBorders>
              <w:top w:val="nil"/>
              <w:left w:val="single" w:color="000000" w:sz="12" w:space="0"/>
              <w:bottom w:val="single" w:color="000000" w:sz="12" w:space="0"/>
              <w:right w:val="single" w:color="000000" w:sz="6" w:space="0"/>
            </w:tcBorders>
          </w:tcPr>
          <w:p>
            <w:pPr>
              <w:spacing w:after="160" w:line="259" w:lineRule="auto"/>
              <w:ind w:left="0" w:firstLine="0"/>
            </w:pPr>
          </w:p>
        </w:tc>
        <w:tc>
          <w:tcPr>
            <w:tcW w:w="0" w:type="auto"/>
            <w:vMerge w:val="continue"/>
            <w:tcBorders>
              <w:top w:val="nil"/>
              <w:left w:val="single" w:color="000000" w:sz="6" w:space="0"/>
              <w:bottom w:val="single" w:color="000000" w:sz="12" w:space="0"/>
              <w:right w:val="single" w:color="000000" w:sz="6" w:space="0"/>
            </w:tcBorders>
          </w:tcPr>
          <w:p>
            <w:pPr>
              <w:spacing w:after="160" w:line="259" w:lineRule="auto"/>
              <w:ind w:left="0" w:firstLine="0"/>
            </w:pPr>
          </w:p>
        </w:tc>
        <w:tc>
          <w:tcPr>
            <w:tcW w:w="1125" w:type="dxa"/>
            <w:tcBorders>
              <w:top w:val="single" w:color="000000" w:sz="6" w:space="0"/>
              <w:left w:val="single" w:color="000000" w:sz="6" w:space="0"/>
              <w:bottom w:val="single" w:color="000000" w:sz="12" w:space="0"/>
              <w:right w:val="single" w:color="000000" w:sz="6" w:space="0"/>
            </w:tcBorders>
          </w:tcPr>
          <w:p>
            <w:pPr>
              <w:spacing w:after="0" w:line="259" w:lineRule="auto"/>
              <w:ind w:left="0" w:right="29" w:firstLine="0"/>
              <w:jc w:val="center"/>
            </w:pPr>
            <w:r>
              <w:rPr>
                <w:sz w:val="20"/>
              </w:rPr>
              <w:t>1</w:t>
            </w:r>
          </w:p>
        </w:tc>
        <w:tc>
          <w:tcPr>
            <w:tcW w:w="1290" w:type="dxa"/>
            <w:tcBorders>
              <w:top w:val="single" w:color="000000" w:sz="6" w:space="0"/>
              <w:left w:val="single" w:color="000000" w:sz="6" w:space="0"/>
              <w:bottom w:val="single" w:color="000000" w:sz="12" w:space="0"/>
              <w:right w:val="single" w:color="000000" w:sz="6" w:space="0"/>
            </w:tcBorders>
          </w:tcPr>
          <w:p>
            <w:pPr>
              <w:spacing w:after="0" w:line="259" w:lineRule="auto"/>
              <w:ind w:left="0" w:right="30" w:firstLine="0"/>
              <w:jc w:val="center"/>
            </w:pPr>
            <w:r>
              <w:rPr>
                <w:sz w:val="20"/>
              </w:rPr>
              <w:t>2</w:t>
            </w:r>
          </w:p>
        </w:tc>
        <w:tc>
          <w:tcPr>
            <w:tcW w:w="975" w:type="dxa"/>
            <w:tcBorders>
              <w:top w:val="single" w:color="000000" w:sz="6" w:space="0"/>
              <w:left w:val="single" w:color="000000" w:sz="6" w:space="0"/>
              <w:bottom w:val="single" w:color="000000" w:sz="12" w:space="0"/>
              <w:right w:val="single" w:color="000000" w:sz="6" w:space="0"/>
            </w:tcBorders>
          </w:tcPr>
          <w:p>
            <w:pPr>
              <w:spacing w:after="0" w:line="259" w:lineRule="auto"/>
              <w:ind w:left="79" w:firstLine="0"/>
            </w:pPr>
            <w:r>
              <w:rPr>
                <w:sz w:val="20"/>
              </w:rPr>
              <w:t>3(2-1)</w:t>
            </w:r>
          </w:p>
        </w:tc>
        <w:tc>
          <w:tcPr>
            <w:tcW w:w="1087" w:type="dxa"/>
            <w:tcBorders>
              <w:top w:val="single" w:color="000000" w:sz="6" w:space="0"/>
              <w:left w:val="single" w:color="000000" w:sz="6" w:space="0"/>
              <w:bottom w:val="single" w:color="000000" w:sz="12" w:space="0"/>
              <w:right w:val="single" w:color="000000" w:sz="6" w:space="0"/>
            </w:tcBorders>
          </w:tcPr>
          <w:p>
            <w:pPr>
              <w:spacing w:after="0" w:line="259" w:lineRule="auto"/>
              <w:ind w:left="0" w:right="27" w:firstLine="0"/>
              <w:jc w:val="center"/>
            </w:pPr>
            <w:r>
              <w:rPr>
                <w:sz w:val="20"/>
              </w:rPr>
              <w:t>4</w:t>
            </w:r>
          </w:p>
        </w:tc>
        <w:tc>
          <w:tcPr>
            <w:tcW w:w="1180" w:type="dxa"/>
            <w:tcBorders>
              <w:top w:val="single" w:color="000000" w:sz="6" w:space="0"/>
              <w:left w:val="single" w:color="000000" w:sz="6" w:space="0"/>
              <w:bottom w:val="single" w:color="000000" w:sz="12" w:space="0"/>
              <w:right w:val="single" w:color="000000" w:sz="6" w:space="0"/>
            </w:tcBorders>
          </w:tcPr>
          <w:p>
            <w:pPr>
              <w:spacing w:after="0" w:line="259" w:lineRule="auto"/>
              <w:ind w:left="0" w:right="29" w:firstLine="0"/>
              <w:jc w:val="center"/>
            </w:pPr>
            <w:r>
              <w:rPr>
                <w:sz w:val="20"/>
              </w:rPr>
              <w:t>5</w:t>
            </w:r>
          </w:p>
        </w:tc>
        <w:tc>
          <w:tcPr>
            <w:tcW w:w="1180" w:type="dxa"/>
            <w:tcBorders>
              <w:top w:val="single" w:color="000000" w:sz="6" w:space="0"/>
              <w:left w:val="single" w:color="000000" w:sz="6" w:space="0"/>
              <w:bottom w:val="single" w:color="000000" w:sz="12" w:space="0"/>
              <w:right w:val="single" w:color="000000" w:sz="6" w:space="0"/>
            </w:tcBorders>
          </w:tcPr>
          <w:p>
            <w:pPr>
              <w:spacing w:after="0" w:line="259" w:lineRule="auto"/>
              <w:ind w:left="0" w:right="27" w:firstLine="0"/>
              <w:jc w:val="center"/>
            </w:pPr>
            <w:r>
              <w:rPr>
                <w:sz w:val="20"/>
              </w:rPr>
              <w:t>6(5-4)</w:t>
            </w:r>
          </w:p>
        </w:tc>
        <w:tc>
          <w:tcPr>
            <w:tcW w:w="1180" w:type="dxa"/>
            <w:tcBorders>
              <w:top w:val="single" w:color="000000" w:sz="6" w:space="0"/>
              <w:left w:val="single" w:color="000000" w:sz="6" w:space="0"/>
              <w:bottom w:val="single" w:color="000000" w:sz="12" w:space="0"/>
              <w:right w:val="single" w:color="000000" w:sz="12" w:space="0"/>
            </w:tcBorders>
          </w:tcPr>
          <w:p>
            <w:pPr>
              <w:spacing w:after="0" w:line="259" w:lineRule="auto"/>
              <w:ind w:left="0" w:right="28" w:firstLine="0"/>
              <w:jc w:val="center"/>
            </w:pPr>
            <w:r>
              <w:rPr>
                <w:sz w:val="20"/>
              </w:rPr>
              <w:t>7(3+6)</w:t>
            </w:r>
          </w:p>
        </w:tc>
      </w:tr>
      <w:tr>
        <w:tblPrEx>
          <w:tblCellMar>
            <w:top w:w="74" w:type="dxa"/>
            <w:left w:w="109" w:type="dxa"/>
            <w:bottom w:w="0" w:type="dxa"/>
            <w:right w:w="81" w:type="dxa"/>
          </w:tblCellMar>
        </w:tblPrEx>
        <w:trPr>
          <w:trHeight w:val="355" w:hRule="atLeast"/>
        </w:trPr>
        <w:tc>
          <w:tcPr>
            <w:tcW w:w="677" w:type="dxa"/>
            <w:tcBorders>
              <w:top w:val="single" w:color="000000" w:sz="12"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w:t>
            </w:r>
          </w:p>
        </w:tc>
        <w:tc>
          <w:tcPr>
            <w:tcW w:w="6144" w:type="dxa"/>
            <w:tcBorders>
              <w:top w:val="single" w:color="000000" w:sz="12" w:space="0"/>
              <w:left w:val="single" w:color="000000" w:sz="6" w:space="0"/>
              <w:bottom w:val="single" w:color="000000" w:sz="6" w:space="0"/>
              <w:right w:val="single" w:color="000000" w:sz="6" w:space="0"/>
            </w:tcBorders>
          </w:tcPr>
          <w:p>
            <w:pPr>
              <w:spacing w:after="0" w:line="259" w:lineRule="auto"/>
              <w:ind w:left="0" w:firstLine="0"/>
            </w:pPr>
            <w:r>
              <w:rPr>
                <w:sz w:val="20"/>
              </w:rPr>
              <w:t>一、债务重组</w:t>
            </w:r>
          </w:p>
        </w:tc>
        <w:tc>
          <w:tcPr>
            <w:tcW w:w="1125"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12"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2</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其中：以非货币性资产清偿债务</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3</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998" w:firstLine="0"/>
            </w:pPr>
            <w:r>
              <w:rPr>
                <w:sz w:val="20"/>
              </w:rPr>
              <w:t>债转股</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4</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二、股权收购</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5</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其中：涉及跨境重组的股权收购</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6</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三、资产收购</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7</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其中：涉及跨境重组的资产收购</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8</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四、企业合并（9+10）</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9</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（一）同一控制下企业合并</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10</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（二）非同一控制下企业合并</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11</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五、企业分立</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12</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六、非货币性资产对外投资</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13</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七、技术入股</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14</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八、股权划转、资产划转</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27" w:firstLine="0"/>
              <w:jc w:val="center"/>
            </w:pPr>
            <w:r>
              <w:rPr>
                <w:sz w:val="20"/>
              </w:rPr>
              <w:t>15</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both"/>
            </w:pPr>
            <w:r>
              <w:rPr>
                <w:sz w:val="20"/>
              </w:rPr>
              <w:t>九、基础设施领域不动产投资信托基金（</w:t>
            </w:r>
            <w:r>
              <w:rPr>
                <w:rFonts w:ascii="Wingdings 2" w:hAnsi="Wingdings 2" w:eastAsia="Wingdings 2" w:cs="Wingdings 2"/>
                <w:sz w:val="20"/>
              </w:rPr>
              <w:t></w:t>
            </w:r>
            <w:r>
              <w:rPr>
                <w:sz w:val="20"/>
              </w:rPr>
              <w:t>原始权益人</w:t>
            </w:r>
            <w:r>
              <w:rPr>
                <w:rFonts w:ascii="Wingdings 2" w:hAnsi="Wingdings 2" w:eastAsia="Wingdings 2" w:cs="Wingdings 2"/>
                <w:sz w:val="20"/>
              </w:rPr>
              <w:t></w:t>
            </w:r>
            <w:r>
              <w:rPr>
                <w:sz w:val="20"/>
              </w:rPr>
              <w:t>项目公司）</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29" w:firstLine="0"/>
            </w:pPr>
            <w:r>
              <w:rPr>
                <w:sz w:val="20"/>
              </w:rPr>
              <w:t>15.1</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（一）设立基础设施REITs前</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29" w:firstLine="0"/>
            </w:pPr>
            <w:r>
              <w:rPr>
                <w:sz w:val="20"/>
              </w:rPr>
              <w:t>15.2</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398" w:firstLine="0"/>
            </w:pPr>
            <w:r>
              <w:rPr>
                <w:sz w:val="20"/>
              </w:rPr>
              <w:t>（二）设立基础设施REITs阶段</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47" w:hRule="atLeast"/>
        </w:trPr>
        <w:tc>
          <w:tcPr>
            <w:tcW w:w="677" w:type="dxa"/>
            <w:tcBorders>
              <w:top w:val="single" w:color="000000" w:sz="6" w:space="0"/>
              <w:left w:val="single" w:color="000000" w:sz="12" w:space="0"/>
              <w:bottom w:val="single" w:color="000000" w:sz="6" w:space="0"/>
              <w:right w:val="single" w:color="000000" w:sz="6" w:space="0"/>
            </w:tcBorders>
          </w:tcPr>
          <w:p>
            <w:pPr>
              <w:spacing w:after="0" w:line="259" w:lineRule="auto"/>
              <w:ind w:left="0" w:right="30" w:firstLine="0"/>
              <w:jc w:val="center"/>
            </w:pPr>
            <w:r>
              <w:rPr>
                <w:sz w:val="20"/>
              </w:rPr>
              <w:t>16</w:t>
            </w:r>
          </w:p>
        </w:tc>
        <w:tc>
          <w:tcPr>
            <w:tcW w:w="614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pPr>
            <w:r>
              <w:rPr>
                <w:sz w:val="20"/>
              </w:rPr>
              <w:t>十、其他</w:t>
            </w:r>
          </w:p>
        </w:tc>
        <w:tc>
          <w:tcPr>
            <w:tcW w:w="112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9" w:type="dxa"/>
            <w:bottom w:w="0" w:type="dxa"/>
            <w:right w:w="81" w:type="dxa"/>
          </w:tblCellMar>
        </w:tblPrEx>
        <w:trPr>
          <w:trHeight w:val="354" w:hRule="atLeast"/>
        </w:trPr>
        <w:tc>
          <w:tcPr>
            <w:tcW w:w="677" w:type="dxa"/>
            <w:tcBorders>
              <w:top w:val="single" w:color="000000" w:sz="6" w:space="0"/>
              <w:left w:val="single" w:color="000000" w:sz="12" w:space="0"/>
              <w:bottom w:val="single" w:color="000000" w:sz="12" w:space="0"/>
              <w:right w:val="single" w:color="000000" w:sz="6" w:space="0"/>
            </w:tcBorders>
          </w:tcPr>
          <w:p>
            <w:pPr>
              <w:spacing w:after="0" w:line="259" w:lineRule="auto"/>
              <w:ind w:left="0" w:right="30" w:firstLine="0"/>
              <w:jc w:val="center"/>
            </w:pPr>
            <w:r>
              <w:rPr>
                <w:sz w:val="20"/>
              </w:rPr>
              <w:t>17</w:t>
            </w:r>
          </w:p>
        </w:tc>
        <w:tc>
          <w:tcPr>
            <w:tcW w:w="6144" w:type="dxa"/>
            <w:tcBorders>
              <w:top w:val="single" w:color="000000" w:sz="6" w:space="0"/>
              <w:left w:val="single" w:color="000000" w:sz="6" w:space="0"/>
              <w:bottom w:val="single" w:color="000000" w:sz="12" w:space="0"/>
              <w:right w:val="single" w:color="000000" w:sz="6" w:space="0"/>
            </w:tcBorders>
          </w:tcPr>
          <w:p>
            <w:pPr>
              <w:spacing w:after="0" w:line="259" w:lineRule="auto"/>
              <w:ind w:left="0" w:firstLine="0"/>
            </w:pPr>
            <w:r>
              <w:rPr>
                <w:sz w:val="20"/>
              </w:rPr>
              <w:t>合计（1+4+6+8+11+12+13+14+15+16）</w:t>
            </w:r>
          </w:p>
        </w:tc>
        <w:tc>
          <w:tcPr>
            <w:tcW w:w="1125"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pPr>
          </w:p>
        </w:tc>
        <w:tc>
          <w:tcPr>
            <w:tcW w:w="1290"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pPr>
          </w:p>
        </w:tc>
        <w:tc>
          <w:tcPr>
            <w:tcW w:w="975"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pPr>
          </w:p>
        </w:tc>
        <w:tc>
          <w:tcPr>
            <w:tcW w:w="1087"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pPr>
          </w:p>
        </w:tc>
        <w:tc>
          <w:tcPr>
            <w:tcW w:w="1180" w:type="dxa"/>
            <w:tcBorders>
              <w:top w:val="single" w:color="000000" w:sz="6" w:space="0"/>
              <w:left w:val="single" w:color="000000" w:sz="6" w:space="0"/>
              <w:bottom w:val="single" w:color="000000" w:sz="12" w:space="0"/>
              <w:right w:val="single" w:color="000000" w:sz="12" w:space="0"/>
            </w:tcBorders>
          </w:tcPr>
          <w:p>
            <w:pPr>
              <w:spacing w:after="160" w:line="259" w:lineRule="auto"/>
              <w:ind w:left="0" w:firstLine="0"/>
            </w:pPr>
          </w:p>
        </w:tc>
      </w:tr>
    </w:tbl>
    <w:p>
      <w:pPr>
        <w:tabs>
          <w:tab w:val="left" w:pos="2220"/>
        </w:tabs>
        <w:sectPr>
          <w:footerReference r:id="rId3" w:type="first"/>
          <w:pgSz w:w="16838" w:h="11906" w:orient="landscape"/>
          <w:pgMar w:top="1418" w:right="1985" w:bottom="1418" w:left="1928" w:header="851" w:footer="992" w:gutter="113"/>
          <w:cols w:space="425" w:num="1"/>
          <w:docGrid w:linePitch="312" w:charSpace="0"/>
        </w:sectPr>
      </w:pPr>
      <w:r>
        <w:tab/>
      </w:r>
    </w:p>
    <w:p>
      <w:pPr>
        <w:pStyle w:val="56"/>
        <w:spacing w:before="240" w:after="360"/>
      </w:pPr>
      <w:bookmarkStart w:id="2" w:name="_Toc535314741"/>
      <w:r>
        <w:t>A105100</w:t>
      </w:r>
      <w:r>
        <w:tab/>
      </w:r>
      <w:r>
        <w:rPr>
          <w:rFonts w:hint="eastAsia"/>
        </w:rPr>
        <w:t>《企业重组及递延纳税事项纳税调整明细表》填报说明</w:t>
      </w:r>
      <w:bookmarkEnd w:id="2"/>
    </w:p>
    <w:bookmarkEnd w:id="1"/>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本表适用于发生企业重组、非货币性资产对外投资、技术入股、基础设施领域不动产投资信托基金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w:t>
      </w:r>
      <w:bookmarkStart w:id="3" w:name="_GoBack"/>
      <w:bookmarkEnd w:id="3"/>
      <w:r>
        <w:rPr>
          <w:sz w:val="24"/>
          <w:szCs w:val="24"/>
        </w:rPr>
        <w:t>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《国家税务总局关于非货币性资产投资企业所得税有关征管问题的公告》（2015年第 33号）、《国家税务总局关于资产（股权）划转企业所得税征管问题的公告》（2015 年第40号）、《国家税务总局关于企业重组业务企业所得税征收管理若干问题的公告》</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（2015年第48号）、《财政部 国家税务总局关于完善股权激励和技术入股有关所得税政策的通知》（财税〔2016〕101号）、《国家税务总局关于股权激励和技术入股所得税征管问题的公告》（2016年第62号）、《财政部 税务总局关于基础设施领域不动产投资信托基金（REITs）试点税收政策的公告》（2022年第3号）等相关规定，以及国家统一企业会计制度，填报企业重组、非货币资产对外投资、技术入股、基础设施领域不动产投资信托基金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一、有关项目填报说明</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（一）行次填报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1.第1行“一、债务重组”：填报企业发生债务重组业务的相关金额。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2.第2行“其中：以非货币性资产清偿债务”：填报企业发生以非货币性资产清偿债务的债务重组业务的相关金额。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3.第3行“债转股”：填报企业发生债权转股权的债务重组业务的相关金额。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4.第4行“二、股权收购”：填报企业发生股权收购重组业务的相关金额。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5.第5行“其中：涉及跨境重组的股权收购”：填报企业发生涉及中国境内与境外之间、内地与港澳之间、大陆与台湾地区之间的股权收购交易重组业务的相关金额。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6.第6行“三、资产收购”：填报企业发生资产收购重组业务的相关金额。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7.第7行“其中：涉及跨境重组的资产收购”：填报企业发生涉及中国境内与境外之间、内地与港澳之间、大陆与台湾地区之间的资产收购交易重组业务的相关金额。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8.第8行“四、企业合并”：填报第9行和第10行的合计金额。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9.第9行“（一）同一控制下企业合并”：填报企业发生同一控制下企业合并重组业务的相关金额。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10.第10行“（二）非同一控制下企业合并”：填报企业发生非同一控制下企业合并重组业务的相关金额。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11.第11行“五、企业分立”：填报企业发生非同一控制下企业分立重组业务的相关金额。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2015年第33号）规定执行递延纳税政策的填写“特殊性税务处理（递延纳税）”相关列次。</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right="117" w:firstLine="470"/>
        <w:jc w:val="both"/>
        <w:textAlignment w:val="auto"/>
        <w:rPr>
          <w:sz w:val="24"/>
          <w:szCs w:val="24"/>
        </w:rPr>
      </w:pPr>
      <w:r>
        <w:rPr>
          <w:sz w:val="24"/>
          <w:szCs w:val="24"/>
        </w:rPr>
        <w:t>13.第13行“七、技术入股”：填报企业以技术成果投资入股到境内居民企业，被投资企业支付对价全部为股票（权）的技术入股业务的相关金额，符合《财政部 国家税务总局关于完善股权激励和技术入股有关所得税政策的通知》（财税〔2016〕101号）、</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《国家税务总局关于股权激励和技术入股所得税征管问题的公告》（2016年第62号）规定适用递延纳税政策的填写“特殊性税务处理（递延纳税）”相关列次。</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14.第14行“八、股权划转、资产划转”：填报企业发生资产（股权）划转业务的相关金额。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15.第15行“九、基础设施领域不动产投资信托基金（□原始权益人 □项目公司）”：</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填报原始权益人、项目公司在设立基础设施REITs前、设立阶段发生的划转基础设施资产、转让项目公司股权等相关业务产生的损益金额及调整金额。本行填报第15.1行和第15.2行的合计金额。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纳税人填报本行时，根据实际情况填报企业类型。</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第15.1行“（一）设立基础设施REITs前”:填报在设立基础设施REITs前，原始权益人与项目公司就其发生的划转基础设施资产业务产生的损益金额及调整金额。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第15.2行“（二）设立基础设施REITs阶段”：填报原始权益人在设立基础设施 REITs阶段，针对向基础设施REITs转让项目公司股权实现的资产转让评估增值以及按照战略配售要求自持的基础设施REITs份额对应的资产转让评估增值等产生的损益金额及调整金额。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16.第16行“十、其他”：填报企业发生的其他递延纳税事项的相关金额。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（二）列次填报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本表数据栏设置“一般性税务处理”“特殊性税务处理（递延纳税）”两大栏次，纳税人应根据企业重组所适用的税务处理办法，分别按照企业重组类型进行累计填报，损失以“-”号填列。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1.第1列“一般性税务处理-账载金额”：填报企业重组适用一般性税务处理或企业未发生递延纳税业务，会计核算确认的企业损益金额。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2.第2列“一般性税务处理-税收金额”：填报企业重组适用一般性税务处理或企业未发生递延纳税业务，按税收规定确认的所得（或损失）。</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3.第3列“一般性税务处理-纳税调整金额”：填报企业重组适用一般性税务处理或企业未发生递延纳税业务，按税收规定确认的所得（或损失）与会计核算确认的损益金额的差额。本项填报第2-1列的余额。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4.第4列“特殊性税务处理（递延纳税）-账载金额”：填报企业重组适用特殊性税务处理或企业发生递延纳税业务，会计核算确认的损益金额。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5.第5列“特殊性税务处理（递延纳税）-税收金额”：填报企业重组适用特殊性税务处理或企业发生递延纳税业务，按税收规定确认的所得（或损失）。</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6.第6列“特殊性税务处理（递延纳税）-纳税调整金额”：填报企业重组适用特殊性税务处理或企业发生递延纳税业务，按税收规定确认的所得（或损失）与会计核算确认的损益金额的差额。本项填报第5-4列的余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7.第7列“纳税调整金额”：填报第3+6列的合计金额。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二、表内、表间关系</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20" w:line="360" w:lineRule="auto"/>
        <w:ind w:hanging="720"/>
        <w:textAlignment w:val="auto"/>
        <w:rPr>
          <w:sz w:val="24"/>
          <w:szCs w:val="24"/>
        </w:rPr>
      </w:pPr>
      <w:r>
        <w:rPr>
          <w:sz w:val="24"/>
          <w:szCs w:val="24"/>
        </w:rPr>
        <w:t>表内关系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1.第8行＝第9+10行。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2.第15行＝第15.1+15.2行。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3.第17行＝第1+4+6+8+11+12+13+14+15+16行。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4.第3列＝第2-1列。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5.第6列＝第5-4列。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6.第7列＝第3+6列。</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20" w:line="360" w:lineRule="auto"/>
        <w:ind w:hanging="720"/>
        <w:textAlignment w:val="auto"/>
        <w:rPr>
          <w:sz w:val="24"/>
          <w:szCs w:val="24"/>
        </w:rPr>
      </w:pPr>
      <w:r>
        <w:rPr>
          <w:sz w:val="24"/>
          <w:szCs w:val="24"/>
        </w:rPr>
        <w:t>表间关系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1.第17行第1+4列＝表A105000第37行第1列。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2.第17行第2+5列＝表A105000第37行第2列。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3.若第17行第7列≥0，第17行第7列＝表A105000第37行第3列；若第17行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第7列＜0，第17行第7列的绝对值＝表A105000第37行第4列。</w:t>
      </w:r>
    </w:p>
    <w:p>
      <w:pPr>
        <w:pStyle w:val="55"/>
      </w:pPr>
    </w:p>
    <w:sectPr>
      <w:headerReference r:id="rId4" w:type="even"/>
      <w:pgSz w:w="11906" w:h="16838"/>
      <w:pgMar w:top="1985" w:right="1418" w:bottom="1928" w:left="1418" w:header="851" w:footer="992" w:gutter="113"/>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ESI宋体-GB2312">
    <w:altName w:val="宋体"/>
    <w:panose1 w:val="00000000000000000000"/>
    <w:charset w:val="86"/>
    <w:family w:val="auto"/>
    <w:pitch w:val="default"/>
    <w:sig w:usb0="00000000" w:usb1="00000000" w:usb2="00000010" w:usb3="00000000" w:csb0="0004000F" w:csb1="00000000"/>
  </w:font>
  <w:font w:name="CESI黑体-GB2312">
    <w:altName w:val="黑体"/>
    <w:panose1 w:val="00000000000000000000"/>
    <w:charset w:val="86"/>
    <w:family w:val="auto"/>
    <w:pitch w:val="default"/>
    <w:sig w:usb0="00000000" w:usb1="00000000" w:usb2="00000012" w:usb3="00000000" w:csb0="0004000F"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2</w:t>
    </w:r>
    <w:r>
      <w:rPr>
        <w:rStyle w:val="28"/>
      </w:rPr>
      <w:fldChar w:fldCharType="end"/>
    </w:r>
  </w:p>
  <w:p>
    <w:pPr>
      <w:pStyle w:val="14"/>
      <w:jc w:val="center"/>
      <w:rPr>
        <w:rFonts w:ascii="Arial" w:hAnsi="Arial" w:eastAsia="等线 Light" w:cs="Arial"/>
        <w:sz w:val="21"/>
        <w:szCs w:val="21"/>
        <w:lang w:val="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cs="Times New Roman"/>
        <w:b w:val="0"/>
        <w:i w:val="0"/>
        <w:sz w:val="24"/>
      </w:rPr>
    </w:lvl>
    <w:lvl w:ilvl="1" w:tentative="0">
      <w:start w:val="1"/>
      <w:numFmt w:val="decimal"/>
      <w:pStyle w:val="57"/>
      <w:suff w:val="nothing"/>
      <w:lvlText w:val="%2."/>
      <w:lvlJc w:val="left"/>
      <w:pPr>
        <w:ind w:left="840" w:hanging="420"/>
      </w:pPr>
      <w:rPr>
        <w:rFonts w:hint="default" w:ascii="宋体" w:hAnsi="宋体" w:eastAsia="宋体" w:cs="Times New Roman"/>
        <w:b w:val="0"/>
        <w:i w:val="0"/>
        <w:caps w:val="0"/>
        <w:strike w:val="0"/>
        <w:dstrike w:val="0"/>
        <w:vanish w:val="0"/>
        <w:color w:val="000000"/>
        <w:sz w:val="24"/>
        <w:vertAlign w:val="baseline"/>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18150C4"/>
    <w:multiLevelType w:val="multilevel"/>
    <w:tmpl w:val="318150C4"/>
    <w:lvl w:ilvl="0" w:tentative="0">
      <w:start w:val="1"/>
      <w:numFmt w:val="ideographDigital"/>
      <w:lvlText w:val="（%1）"/>
      <w:lvlJc w:val="left"/>
      <w:pPr>
        <w:ind w:left="1200"/>
      </w:pPr>
      <w:rPr>
        <w:rFonts w:ascii="宋体" w:hAnsi="宋体" w:eastAsia="宋体" w:cs="宋体"/>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宋体" w:hAnsi="宋体" w:eastAsia="宋体" w:cs="宋体"/>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宋体" w:hAnsi="宋体" w:eastAsia="宋体" w:cs="宋体"/>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宋体" w:hAnsi="宋体" w:eastAsia="宋体" w:cs="宋体"/>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宋体" w:hAnsi="宋体" w:eastAsia="宋体" w:cs="宋体"/>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宋体" w:hAnsi="宋体" w:eastAsia="宋体" w:cs="宋体"/>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宋体" w:hAnsi="宋体" w:eastAsia="宋体" w:cs="宋体"/>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宋体" w:hAnsi="宋体" w:eastAsia="宋体" w:cs="宋体"/>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宋体" w:hAnsi="宋体" w:eastAsia="宋体" w:cs="宋体"/>
        <w:b w:val="0"/>
        <w:i w:val="0"/>
        <w:strike w:val="0"/>
        <w:dstrike w:val="0"/>
        <w:color w:val="000000"/>
        <w:sz w:val="24"/>
        <w:szCs w:val="24"/>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jhlM2U4Mjk2Y2FhOWI4NzU2ODU0MDU0NTZiNGQifQ=="/>
  </w:docVars>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BF53BC"/>
    <w:rsid w:val="00C60762"/>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EF6CC4"/>
    <w:rsid w:val="00F20FD0"/>
    <w:rsid w:val="00F26ED1"/>
    <w:rsid w:val="00F7322A"/>
    <w:rsid w:val="00F938FB"/>
    <w:rsid w:val="00FD213A"/>
    <w:rsid w:val="00FE3031"/>
    <w:rsid w:val="0D8701EA"/>
    <w:rsid w:val="14AE5741"/>
    <w:rsid w:val="196B2362"/>
    <w:rsid w:val="1B32684C"/>
    <w:rsid w:val="2404416F"/>
    <w:rsid w:val="2C4E413A"/>
    <w:rsid w:val="2DB51A75"/>
    <w:rsid w:val="2F410E0C"/>
    <w:rsid w:val="2F4441BC"/>
    <w:rsid w:val="2FAE6169"/>
    <w:rsid w:val="300C67DF"/>
    <w:rsid w:val="344F5B64"/>
    <w:rsid w:val="37241C66"/>
    <w:rsid w:val="3EF22D80"/>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6" w:lineRule="auto"/>
      <w:outlineLvl w:val="0"/>
    </w:pPr>
    <w:rPr>
      <w:b/>
      <w:kern w:val="44"/>
      <w:sz w:val="20"/>
      <w:szCs w:val="20"/>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Document Map"/>
    <w:basedOn w:val="1"/>
    <w:link w:val="35"/>
    <w:semiHidden/>
    <w:qFormat/>
    <w:uiPriority w:val="99"/>
    <w:pPr>
      <w:shd w:val="clear" w:color="auto" w:fill="000080"/>
    </w:pPr>
  </w:style>
  <w:style w:type="paragraph" w:styleId="7">
    <w:name w:val="annotation text"/>
    <w:basedOn w:val="1"/>
    <w:link w:val="36"/>
    <w:semiHidden/>
    <w:uiPriority w:val="99"/>
    <w:pPr>
      <w:jc w:val="left"/>
    </w:pPr>
    <w:rPr>
      <w:sz w:val="24"/>
    </w:rPr>
  </w:style>
  <w:style w:type="paragraph" w:styleId="8">
    <w:name w:val="toc 5"/>
    <w:basedOn w:val="1"/>
    <w:next w:val="1"/>
    <w:uiPriority w:val="99"/>
    <w:pPr>
      <w:ind w:left="840"/>
      <w:jc w:val="left"/>
    </w:pPr>
    <w:rPr>
      <w:rFonts w:ascii="Calibri" w:hAnsi="Calibri"/>
      <w:sz w:val="18"/>
      <w:szCs w:val="18"/>
    </w:rPr>
  </w:style>
  <w:style w:type="paragraph" w:styleId="9">
    <w:name w:val="toc 3"/>
    <w:basedOn w:val="1"/>
    <w:next w:val="1"/>
    <w:qFormat/>
    <w:uiPriority w:val="99"/>
    <w:pPr>
      <w:ind w:left="420"/>
      <w:jc w:val="left"/>
    </w:pPr>
    <w:rPr>
      <w:rFonts w:ascii="Calibri" w:hAnsi="Calibri"/>
      <w:i/>
      <w:iCs/>
      <w:sz w:val="20"/>
      <w:szCs w:val="20"/>
    </w:rPr>
  </w:style>
  <w:style w:type="paragraph" w:styleId="10">
    <w:name w:val="Plain Text"/>
    <w:basedOn w:val="1"/>
    <w:link w:val="37"/>
    <w:qFormat/>
    <w:uiPriority w:val="99"/>
    <w:rPr>
      <w:rFonts w:ascii="宋体" w:hAnsi="Courier New" w:cs="Courier New"/>
      <w:szCs w:val="21"/>
    </w:rPr>
  </w:style>
  <w:style w:type="paragraph" w:styleId="11">
    <w:name w:val="toc 8"/>
    <w:basedOn w:val="1"/>
    <w:next w:val="1"/>
    <w:qFormat/>
    <w:uiPriority w:val="99"/>
    <w:pPr>
      <w:ind w:left="1470"/>
      <w:jc w:val="left"/>
    </w:pPr>
    <w:rPr>
      <w:rFonts w:ascii="Calibri" w:hAnsi="Calibri"/>
      <w:sz w:val="18"/>
      <w:szCs w:val="18"/>
    </w:rPr>
  </w:style>
  <w:style w:type="paragraph" w:styleId="12">
    <w:name w:val="Date"/>
    <w:basedOn w:val="1"/>
    <w:next w:val="1"/>
    <w:link w:val="38"/>
    <w:qFormat/>
    <w:uiPriority w:val="99"/>
    <w:pPr>
      <w:ind w:left="100" w:leftChars="2500"/>
    </w:pPr>
  </w:style>
  <w:style w:type="paragraph" w:styleId="13">
    <w:name w:val="Balloon Text"/>
    <w:basedOn w:val="1"/>
    <w:link w:val="39"/>
    <w:semiHidden/>
    <w:qFormat/>
    <w:uiPriority w:val="99"/>
    <w:rPr>
      <w:rFonts w:ascii="Heiti SC Light" w:eastAsia="Times New Roman"/>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rFonts w:ascii="Calibri" w:hAnsi="Calibri"/>
      <w:b/>
      <w:bCs/>
      <w:caps/>
      <w:sz w:val="20"/>
      <w:szCs w:val="20"/>
    </w:rPr>
  </w:style>
  <w:style w:type="paragraph" w:styleId="17">
    <w:name w:val="toc 4"/>
    <w:basedOn w:val="1"/>
    <w:next w:val="1"/>
    <w:uiPriority w:val="99"/>
    <w:pPr>
      <w:ind w:left="630"/>
      <w:jc w:val="left"/>
    </w:pPr>
    <w:rPr>
      <w:rFonts w:ascii="Calibri" w:hAnsi="Calibri"/>
      <w:sz w:val="18"/>
      <w:szCs w:val="18"/>
    </w:rPr>
  </w:style>
  <w:style w:type="paragraph" w:styleId="18">
    <w:name w:val="toc 6"/>
    <w:basedOn w:val="1"/>
    <w:next w:val="1"/>
    <w:qFormat/>
    <w:uiPriority w:val="99"/>
    <w:pPr>
      <w:ind w:left="1050"/>
      <w:jc w:val="left"/>
    </w:pPr>
    <w:rPr>
      <w:rFonts w:ascii="Calibri" w:hAnsi="Calibri"/>
      <w:sz w:val="18"/>
      <w:szCs w:val="18"/>
    </w:rPr>
  </w:style>
  <w:style w:type="paragraph" w:styleId="19">
    <w:name w:val="toc 2"/>
    <w:basedOn w:val="1"/>
    <w:next w:val="1"/>
    <w:qFormat/>
    <w:uiPriority w:val="99"/>
    <w:pPr>
      <w:ind w:left="210"/>
      <w:jc w:val="left"/>
    </w:pPr>
    <w:rPr>
      <w:rFonts w:ascii="Calibri" w:hAnsi="Calibri"/>
      <w:smallCaps/>
      <w:sz w:val="20"/>
      <w:szCs w:val="20"/>
    </w:rPr>
  </w:style>
  <w:style w:type="paragraph" w:styleId="20">
    <w:name w:val="toc 9"/>
    <w:basedOn w:val="1"/>
    <w:next w:val="1"/>
    <w:qFormat/>
    <w:uiPriority w:val="99"/>
    <w:pPr>
      <w:ind w:left="1680"/>
      <w:jc w:val="left"/>
    </w:pPr>
    <w:rPr>
      <w:rFonts w:ascii="Calibri" w:hAnsi="Calibri"/>
      <w:sz w:val="18"/>
      <w:szCs w:val="18"/>
    </w:rPr>
  </w:style>
  <w:style w:type="paragraph" w:styleId="21">
    <w:name w:val="Body Text 2"/>
    <w:basedOn w:val="1"/>
    <w:link w:val="42"/>
    <w:qFormat/>
    <w:uiPriority w:val="99"/>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43"/>
    <w:semiHidden/>
    <w:qFormat/>
    <w:uiPriority w:val="99"/>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Emphasis"/>
    <w:basedOn w:val="26"/>
    <w:qFormat/>
    <w:uiPriority w:val="99"/>
    <w:rPr>
      <w:rFonts w:cs="Times New Roman"/>
      <w:i/>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rPr>
  </w:style>
  <w:style w:type="character" w:customStyle="1" w:styleId="32">
    <w:name w:val="Heading 1 Char"/>
    <w:basedOn w:val="26"/>
    <w:qFormat/>
    <w:locked/>
    <w:uiPriority w:val="99"/>
    <w:rPr>
      <w:rFonts w:eastAsia="宋体" w:cs="Times New Roman"/>
      <w:b/>
      <w:kern w:val="44"/>
      <w:sz w:val="44"/>
      <w:lang w:val="en-US" w:eastAsia="zh-CN"/>
    </w:rPr>
  </w:style>
  <w:style w:type="character" w:customStyle="1" w:styleId="33">
    <w:name w:val="标题 2 Char"/>
    <w:basedOn w:val="26"/>
    <w:link w:val="3"/>
    <w:qFormat/>
    <w:locked/>
    <w:uiPriority w:val="99"/>
    <w:rPr>
      <w:rFonts w:ascii="Arial" w:hAnsi="Arial" w:eastAsia="黑体" w:cs="Times New Roman"/>
      <w:b/>
      <w:bCs/>
      <w:sz w:val="32"/>
      <w:szCs w:val="32"/>
    </w:rPr>
  </w:style>
  <w:style w:type="character" w:customStyle="1" w:styleId="34">
    <w:name w:val="标题 3 Char"/>
    <w:basedOn w:val="26"/>
    <w:link w:val="4"/>
    <w:qFormat/>
    <w:locked/>
    <w:uiPriority w:val="99"/>
    <w:rPr>
      <w:rFonts w:ascii="Times New Roman" w:hAnsi="Times New Roman" w:eastAsia="宋体" w:cs="Times New Roman"/>
      <w:b/>
      <w:bCs/>
      <w:sz w:val="32"/>
      <w:szCs w:val="32"/>
    </w:rPr>
  </w:style>
  <w:style w:type="character" w:customStyle="1" w:styleId="35">
    <w:name w:val="文档结构图 Char"/>
    <w:basedOn w:val="26"/>
    <w:link w:val="6"/>
    <w:semiHidden/>
    <w:locked/>
    <w:uiPriority w:val="99"/>
    <w:rPr>
      <w:rFonts w:ascii="Times New Roman" w:hAnsi="Times New Roman" w:eastAsia="宋体" w:cs="Times New Roman"/>
      <w:sz w:val="24"/>
      <w:szCs w:val="24"/>
      <w:shd w:val="clear" w:color="auto" w:fill="000080"/>
    </w:rPr>
  </w:style>
  <w:style w:type="character" w:customStyle="1" w:styleId="36">
    <w:name w:val="批注文字 Char"/>
    <w:basedOn w:val="26"/>
    <w:link w:val="7"/>
    <w:qFormat/>
    <w:locked/>
    <w:uiPriority w:val="99"/>
    <w:rPr>
      <w:rFonts w:ascii="Times New Roman" w:hAnsi="Times New Roman" w:eastAsia="宋体" w:cs="Times New Roman"/>
      <w:sz w:val="24"/>
      <w:szCs w:val="24"/>
    </w:rPr>
  </w:style>
  <w:style w:type="character" w:customStyle="1" w:styleId="37">
    <w:name w:val="纯文本 Char"/>
    <w:basedOn w:val="26"/>
    <w:link w:val="10"/>
    <w:locked/>
    <w:uiPriority w:val="99"/>
    <w:rPr>
      <w:rFonts w:ascii="宋体" w:hAnsi="Courier New" w:eastAsia="宋体" w:cs="Courier New"/>
      <w:sz w:val="21"/>
      <w:szCs w:val="21"/>
    </w:rPr>
  </w:style>
  <w:style w:type="character" w:customStyle="1" w:styleId="38">
    <w:name w:val="日期 Char"/>
    <w:basedOn w:val="26"/>
    <w:link w:val="12"/>
    <w:qFormat/>
    <w:locked/>
    <w:uiPriority w:val="99"/>
    <w:rPr>
      <w:rFonts w:ascii="Times New Roman" w:hAnsi="Times New Roman" w:eastAsia="宋体" w:cs="Times New Roman"/>
      <w:sz w:val="24"/>
      <w:szCs w:val="24"/>
    </w:rPr>
  </w:style>
  <w:style w:type="character" w:customStyle="1" w:styleId="39">
    <w:name w:val="批注框文本 Char"/>
    <w:basedOn w:val="26"/>
    <w:link w:val="13"/>
    <w:qFormat/>
    <w:locked/>
    <w:uiPriority w:val="99"/>
    <w:rPr>
      <w:rFonts w:ascii="Heiti SC Light" w:hAnsi="Times New Roman" w:eastAsia="Times New Roman" w:cs="Times New Roman"/>
      <w:sz w:val="18"/>
      <w:szCs w:val="18"/>
    </w:rPr>
  </w:style>
  <w:style w:type="character" w:customStyle="1" w:styleId="40">
    <w:name w:val="页脚 Char"/>
    <w:basedOn w:val="26"/>
    <w:link w:val="14"/>
    <w:qFormat/>
    <w:locked/>
    <w:uiPriority w:val="99"/>
    <w:rPr>
      <w:rFonts w:cs="Times New Roman"/>
      <w:sz w:val="18"/>
      <w:szCs w:val="18"/>
    </w:rPr>
  </w:style>
  <w:style w:type="character" w:customStyle="1" w:styleId="41">
    <w:name w:val="页眉 Char"/>
    <w:basedOn w:val="26"/>
    <w:link w:val="15"/>
    <w:qFormat/>
    <w:locked/>
    <w:uiPriority w:val="99"/>
    <w:rPr>
      <w:rFonts w:cs="Times New Roman"/>
      <w:sz w:val="18"/>
      <w:szCs w:val="18"/>
    </w:rPr>
  </w:style>
  <w:style w:type="character" w:customStyle="1" w:styleId="42">
    <w:name w:val="正文文本 2 Char"/>
    <w:basedOn w:val="26"/>
    <w:link w:val="21"/>
    <w:qFormat/>
    <w:locked/>
    <w:uiPriority w:val="99"/>
    <w:rPr>
      <w:rFonts w:ascii="宋体" w:hAnsi="宋体" w:eastAsia="宋体" w:cs="宋体"/>
      <w:color w:val="000000"/>
      <w:kern w:val="0"/>
      <w:sz w:val="24"/>
      <w:szCs w:val="24"/>
    </w:rPr>
  </w:style>
  <w:style w:type="character" w:customStyle="1" w:styleId="43">
    <w:name w:val="批注主题 Char"/>
    <w:basedOn w:val="36"/>
    <w:link w:val="23"/>
    <w:semiHidden/>
    <w:qFormat/>
    <w:locked/>
    <w:uiPriority w:val="99"/>
    <w:rPr>
      <w:rFonts w:ascii="Times New Roman" w:hAnsi="Times New Roman" w:eastAsia="宋体" w:cs="Times New Roman"/>
      <w:b/>
      <w:bCs/>
      <w:sz w:val="24"/>
      <w:szCs w:val="24"/>
    </w:rPr>
  </w:style>
  <w:style w:type="character" w:customStyle="1" w:styleId="44">
    <w:name w:val="标题 1 Char"/>
    <w:basedOn w:val="26"/>
    <w:qFormat/>
    <w:locked/>
    <w:uiPriority w:val="99"/>
    <w:rPr>
      <w:rFonts w:ascii="Times New Roman" w:hAnsi="Times New Roman" w:eastAsia="宋体" w:cs="Times New Roman"/>
      <w:b/>
      <w:bCs/>
      <w:kern w:val="44"/>
      <w:sz w:val="44"/>
      <w:szCs w:val="44"/>
    </w:rPr>
  </w:style>
  <w:style w:type="character" w:customStyle="1" w:styleId="45">
    <w:name w:val="标题 1 Char1"/>
    <w:link w:val="2"/>
    <w:qFormat/>
    <w:locked/>
    <w:uiPriority w:val="99"/>
    <w:rPr>
      <w:rFonts w:ascii="Times New Roman" w:hAnsi="Times New Roman" w:eastAsia="宋体"/>
      <w:b/>
      <w:kern w:val="44"/>
      <w:sz w:val="20"/>
    </w:rPr>
  </w:style>
  <w:style w:type="character" w:customStyle="1" w:styleId="46">
    <w:name w:val="页眉 Char1"/>
    <w:qFormat/>
    <w:locked/>
    <w:uiPriority w:val="99"/>
    <w:rPr>
      <w:kern w:val="2"/>
      <w:sz w:val="18"/>
    </w:rPr>
  </w:style>
  <w:style w:type="paragraph" w:customStyle="1" w:styleId="47">
    <w:name w:val="一级标题"/>
    <w:basedOn w:val="1"/>
    <w:qFormat/>
    <w:uiPriority w:val="99"/>
    <w:pPr>
      <w:ind w:firstLine="420" w:firstLineChars="200"/>
      <w:outlineLvl w:val="2"/>
    </w:pPr>
    <w:rPr>
      <w:rFonts w:ascii="Arial" w:hAnsi="Arial" w:cs="Arial"/>
      <w:b/>
    </w:rPr>
  </w:style>
  <w:style w:type="paragraph" w:styleId="48">
    <w:name w:val="List Paragraph"/>
    <w:basedOn w:val="1"/>
    <w:qFormat/>
    <w:uiPriority w:val="99"/>
    <w:pPr>
      <w:ind w:firstLine="420" w:firstLineChars="200"/>
    </w:pPr>
  </w:style>
  <w:style w:type="paragraph" w:customStyle="1" w:styleId="49">
    <w:name w:val="1"/>
    <w:basedOn w:val="1"/>
    <w:qFormat/>
    <w:uiPriority w:val="99"/>
    <w:rPr>
      <w:rFonts w:ascii="Tahoma" w:hAnsi="Tahoma"/>
      <w:sz w:val="24"/>
      <w:szCs w:val="20"/>
    </w:rPr>
  </w:style>
  <w:style w:type="paragraph" w:customStyle="1" w:styleId="50">
    <w:name w:val="需求3级"/>
    <w:basedOn w:val="4"/>
    <w:next w:val="1"/>
    <w:qFormat/>
    <w:uiPriority w:val="99"/>
    <w:pPr>
      <w:spacing w:before="360" w:line="360" w:lineRule="auto"/>
    </w:pPr>
    <w:rPr>
      <w:rFonts w:ascii="方正小标宋简体" w:hAnsi="宋体" w:eastAsia="方正小标宋简体"/>
      <w:b w:val="0"/>
      <w:sz w:val="24"/>
      <w:szCs w:val="24"/>
    </w:rPr>
  </w:style>
  <w:style w:type="paragraph" w:customStyle="1" w:styleId="51">
    <w:name w:val="需求正文"/>
    <w:basedOn w:val="1"/>
    <w:qFormat/>
    <w:uiPriority w:val="99"/>
    <w:pPr>
      <w:spacing w:line="360" w:lineRule="auto"/>
      <w:ind w:firstLine="200" w:firstLineChars="200"/>
    </w:pPr>
    <w:rPr>
      <w:rFonts w:ascii="宋体" w:hAnsi="宋体"/>
      <w:sz w:val="24"/>
    </w:rPr>
  </w:style>
  <w:style w:type="paragraph" w:customStyle="1" w:styleId="52">
    <w:name w:val="List Paragraph1"/>
    <w:basedOn w:val="1"/>
    <w:qFormat/>
    <w:uiPriority w:val="99"/>
    <w:pPr>
      <w:ind w:firstLine="420" w:firstLineChars="200"/>
    </w:pPr>
  </w:style>
  <w:style w:type="character" w:customStyle="1" w:styleId="53">
    <w:name w:val="fck__anchor1"/>
    <w:qFormat/>
    <w:uiPriority w:val="99"/>
    <w:rPr>
      <w:bdr w:val="dotted" w:color="0000FF" w:sz="6" w:space="0"/>
    </w:rPr>
  </w:style>
  <w:style w:type="character" w:customStyle="1" w:styleId="54">
    <w:name w:val="未处理的提及1"/>
    <w:qFormat/>
    <w:uiPriority w:val="99"/>
    <w:rPr>
      <w:color w:val="808080"/>
      <w:shd w:val="clear" w:color="auto" w:fill="E6E6E6"/>
    </w:rPr>
  </w:style>
  <w:style w:type="paragraph" w:customStyle="1" w:styleId="55">
    <w:name w:val="SBBZW"/>
    <w:basedOn w:val="1"/>
    <w:qFormat/>
    <w:uiPriority w:val="0"/>
    <w:pPr>
      <w:spacing w:line="360" w:lineRule="auto"/>
      <w:ind w:firstLine="480" w:firstLineChars="200"/>
    </w:pPr>
    <w:rPr>
      <w:rFonts w:ascii="宋体" w:hAnsi="宋体"/>
      <w:sz w:val="24"/>
    </w:rPr>
  </w:style>
  <w:style w:type="paragraph" w:customStyle="1" w:styleId="56">
    <w:name w:val="SBBL1"/>
    <w:basedOn w:val="2"/>
    <w:qFormat/>
    <w:uiPriority w:val="99"/>
    <w:pPr>
      <w:spacing w:beforeLines="100" w:afterLines="150" w:line="360" w:lineRule="auto"/>
      <w:jc w:val="center"/>
    </w:pPr>
    <w:rPr>
      <w:rFonts w:ascii="方正小标宋简体" w:hAnsi="宋体" w:eastAsia="方正小标宋简体" w:cs="宋体"/>
      <w:b w:val="0"/>
      <w:sz w:val="28"/>
      <w:szCs w:val="28"/>
    </w:rPr>
  </w:style>
  <w:style w:type="paragraph" w:customStyle="1" w:styleId="57">
    <w:name w:val="SBBZEDD"/>
    <w:basedOn w:val="55"/>
    <w:qFormat/>
    <w:uiPriority w:val="99"/>
    <w:pPr>
      <w:numPr>
        <w:ilvl w:val="1"/>
        <w:numId w:val="1"/>
      </w:numPr>
      <w:ind w:firstLine="0" w:firstLineChars="0"/>
    </w:pPr>
  </w:style>
  <w:style w:type="paragraph" w:customStyle="1" w:styleId="58">
    <w:name w:val="SBBL2"/>
    <w:basedOn w:val="1"/>
    <w:qFormat/>
    <w:uiPriority w:val="99"/>
    <w:pPr>
      <w:spacing w:line="360" w:lineRule="auto"/>
      <w:ind w:firstLine="200" w:firstLineChars="200"/>
      <w:jc w:val="left"/>
      <w:outlineLvl w:val="1"/>
    </w:pPr>
    <w:rPr>
      <w:rFonts w:ascii="宋体" w:hAnsi="宋体" w:cs="Calibri"/>
      <w:b/>
      <w:sz w:val="24"/>
    </w:rPr>
  </w:style>
  <w:style w:type="paragraph" w:customStyle="1" w:styleId="59">
    <w:name w:val="SBBL3"/>
    <w:basedOn w:val="1"/>
    <w:qFormat/>
    <w:uiPriority w:val="99"/>
    <w:pPr>
      <w:spacing w:line="360" w:lineRule="auto"/>
      <w:ind w:firstLine="480" w:firstLineChars="200"/>
      <w:outlineLvl w:val="2"/>
    </w:pPr>
    <w:rPr>
      <w:rFonts w:ascii="黑体" w:hAnsi="黑体" w:eastAsia="黑体" w:cs="Calibri"/>
      <w:sz w:val="24"/>
    </w:rPr>
  </w:style>
  <w:style w:type="paragraph" w:customStyle="1" w:styleId="60">
    <w:name w:val="SBBT1"/>
    <w:basedOn w:val="55"/>
    <w:qFormat/>
    <w:uiPriority w:val="0"/>
    <w:pPr>
      <w:tabs>
        <w:tab w:val="center" w:pos="4678"/>
      </w:tabs>
      <w:ind w:firstLine="0" w:firstLineChars="0"/>
      <w:jc w:val="left"/>
      <w:outlineLvl w:val="0"/>
    </w:pPr>
    <w:rPr>
      <w:rFonts w:cs="宋体"/>
      <w:b/>
      <w:bCs/>
      <w:kern w:val="0"/>
      <w:sz w:val="28"/>
      <w:szCs w:val="28"/>
    </w:rPr>
  </w:style>
  <w:style w:type="paragraph" w:customStyle="1" w:styleId="61">
    <w:name w:val="SBBT2"/>
    <w:basedOn w:val="60"/>
    <w:qFormat/>
    <w:uiPriority w:val="0"/>
    <w:pPr>
      <w:tabs>
        <w:tab w:val="center" w:pos="6521"/>
        <w:tab w:val="clear" w:pos="4678"/>
      </w:tabs>
    </w:pPr>
  </w:style>
  <w:style w:type="character" w:customStyle="1" w:styleId="62">
    <w:name w:val="未处理的提及"/>
    <w:semiHidden/>
    <w:qFormat/>
    <w:uiPriority w:val="99"/>
    <w:rPr>
      <w:color w:val="808080"/>
      <w:shd w:val="clear" w:color="auto" w:fill="E6E6E6"/>
    </w:rPr>
  </w:style>
  <w:style w:type="character" w:styleId="63">
    <w:name w:val="Placeholder Text"/>
    <w:basedOn w:val="26"/>
    <w:semiHidden/>
    <w:qFormat/>
    <w:uiPriority w:val="99"/>
    <w:rPr>
      <w:rFonts w:cs="Times New Roman"/>
      <w:color w:val="808080"/>
    </w:rPr>
  </w:style>
  <w:style w:type="paragraph" w:customStyle="1" w:styleId="64">
    <w:name w:val="目录 41"/>
    <w:basedOn w:val="1"/>
    <w:next w:val="1"/>
    <w:qFormat/>
    <w:uiPriority w:val="99"/>
    <w:pPr>
      <w:ind w:left="630"/>
      <w:jc w:val="left"/>
    </w:pPr>
    <w:rPr>
      <w:rFonts w:ascii="Calibri" w:hAnsi="Calibri" w:cs="Calibri"/>
      <w:sz w:val="18"/>
      <w:szCs w:val="18"/>
    </w:rPr>
  </w:style>
  <w:style w:type="paragraph" w:customStyle="1" w:styleId="65">
    <w:name w:val="ZBBZWBg"/>
    <w:basedOn w:val="55"/>
    <w:qFormat/>
    <w:uiPriority w:val="99"/>
    <w:pPr>
      <w:ind w:firstLine="0" w:firstLineChars="0"/>
      <w:jc w:val="center"/>
    </w:pPr>
    <w:rPr>
      <w:rFonts w:cs="宋体"/>
      <w:b/>
      <w:bCs/>
    </w:rPr>
  </w:style>
  <w:style w:type="paragraph" w:customStyle="1" w:styleId="66">
    <w:name w:val="目录 11"/>
    <w:basedOn w:val="1"/>
    <w:next w:val="1"/>
    <w:qFormat/>
    <w:uiPriority w:val="99"/>
    <w:pPr>
      <w:spacing w:before="120" w:after="120"/>
      <w:jc w:val="left"/>
    </w:pPr>
    <w:rPr>
      <w:rFonts w:ascii="Calibri" w:hAnsi="Calibri" w:cs="Calibri"/>
      <w:b/>
      <w:bCs/>
      <w:caps/>
      <w:sz w:val="20"/>
      <w:szCs w:val="20"/>
    </w:rPr>
  </w:style>
  <w:style w:type="paragraph" w:customStyle="1" w:styleId="67">
    <w:name w:val="目录 21"/>
    <w:basedOn w:val="1"/>
    <w:next w:val="1"/>
    <w:qFormat/>
    <w:uiPriority w:val="99"/>
    <w:pPr>
      <w:ind w:left="210"/>
      <w:jc w:val="left"/>
    </w:pPr>
    <w:rPr>
      <w:rFonts w:ascii="Calibri" w:hAnsi="Calibri" w:cs="Calibri"/>
      <w:smallCaps/>
      <w:sz w:val="20"/>
      <w:szCs w:val="20"/>
    </w:rPr>
  </w:style>
  <w:style w:type="paragraph" w:customStyle="1" w:styleId="68">
    <w:name w:val="目录 31"/>
    <w:basedOn w:val="1"/>
    <w:next w:val="1"/>
    <w:qFormat/>
    <w:uiPriority w:val="99"/>
    <w:pPr>
      <w:ind w:left="420"/>
      <w:jc w:val="left"/>
    </w:pPr>
    <w:rPr>
      <w:rFonts w:ascii="Calibri" w:hAnsi="Calibri" w:cs="Calibri"/>
      <w:i/>
      <w:iCs/>
      <w:sz w:val="20"/>
      <w:szCs w:val="20"/>
    </w:rPr>
  </w:style>
  <w:style w:type="paragraph" w:customStyle="1" w:styleId="69">
    <w:name w:val="目录 51"/>
    <w:basedOn w:val="1"/>
    <w:next w:val="1"/>
    <w:qFormat/>
    <w:uiPriority w:val="99"/>
    <w:pPr>
      <w:ind w:left="840"/>
      <w:jc w:val="left"/>
    </w:pPr>
    <w:rPr>
      <w:rFonts w:ascii="Calibri" w:hAnsi="Calibri" w:cs="Calibri"/>
      <w:sz w:val="18"/>
      <w:szCs w:val="18"/>
    </w:rPr>
  </w:style>
  <w:style w:type="paragraph" w:customStyle="1" w:styleId="70">
    <w:name w:val="目录 61"/>
    <w:basedOn w:val="1"/>
    <w:next w:val="1"/>
    <w:uiPriority w:val="99"/>
    <w:pPr>
      <w:ind w:left="1050"/>
      <w:jc w:val="left"/>
    </w:pPr>
    <w:rPr>
      <w:rFonts w:ascii="Calibri" w:hAnsi="Calibri" w:cs="Calibri"/>
      <w:sz w:val="18"/>
      <w:szCs w:val="18"/>
    </w:rPr>
  </w:style>
  <w:style w:type="paragraph" w:customStyle="1" w:styleId="71">
    <w:name w:val="目录 71"/>
    <w:basedOn w:val="1"/>
    <w:next w:val="1"/>
    <w:qFormat/>
    <w:uiPriority w:val="99"/>
    <w:pPr>
      <w:ind w:left="1260"/>
      <w:jc w:val="left"/>
    </w:pPr>
    <w:rPr>
      <w:rFonts w:ascii="Calibri" w:hAnsi="Calibri" w:cs="Calibri"/>
      <w:sz w:val="18"/>
      <w:szCs w:val="18"/>
    </w:rPr>
  </w:style>
  <w:style w:type="paragraph" w:customStyle="1" w:styleId="72">
    <w:name w:val="目录 81"/>
    <w:basedOn w:val="1"/>
    <w:next w:val="1"/>
    <w:qFormat/>
    <w:uiPriority w:val="99"/>
    <w:pPr>
      <w:ind w:left="1470"/>
      <w:jc w:val="left"/>
    </w:pPr>
    <w:rPr>
      <w:rFonts w:ascii="Calibri" w:hAnsi="Calibri" w:cs="Calibri"/>
      <w:sz w:val="18"/>
      <w:szCs w:val="18"/>
    </w:rPr>
  </w:style>
  <w:style w:type="paragraph" w:customStyle="1" w:styleId="73">
    <w:name w:val="目录 91"/>
    <w:basedOn w:val="1"/>
    <w:next w:val="1"/>
    <w:qFormat/>
    <w:uiPriority w:val="99"/>
    <w:pPr>
      <w:ind w:left="1680"/>
      <w:jc w:val="left"/>
    </w:pPr>
    <w:rPr>
      <w:rFonts w:ascii="Calibri" w:hAnsi="Calibri" w:cs="Calibri"/>
      <w:sz w:val="18"/>
      <w:szCs w:val="18"/>
    </w:rPr>
  </w:style>
  <w:style w:type="paragraph" w:customStyle="1" w:styleId="74">
    <w:name w:val="列出段落1"/>
    <w:basedOn w:val="1"/>
    <w:qFormat/>
    <w:uiPriority w:val="99"/>
    <w:pPr>
      <w:ind w:firstLine="420" w:firstLineChars="200"/>
    </w:pPr>
    <w:rPr>
      <w:szCs w:val="21"/>
    </w:rPr>
  </w:style>
  <w:style w:type="character" w:customStyle="1" w:styleId="75">
    <w:name w:val="未处理的提及2"/>
    <w:qFormat/>
    <w:uiPriority w:val="99"/>
    <w:rPr>
      <w:color w:val="808080"/>
      <w:shd w:val="clear" w:color="auto" w:fill="auto"/>
    </w:rPr>
  </w:style>
  <w:style w:type="character" w:customStyle="1" w:styleId="76">
    <w:name w:val="占位符文本1"/>
    <w:semiHidden/>
    <w:qFormat/>
    <w:uiPriority w:val="99"/>
    <w:rPr>
      <w:color w:val="808080"/>
    </w:rPr>
  </w:style>
  <w:style w:type="paragraph" w:customStyle="1" w:styleId="77">
    <w:name w:val="列出段落2"/>
    <w:basedOn w:val="1"/>
    <w:qFormat/>
    <w:uiPriority w:val="99"/>
    <w:pPr>
      <w:ind w:firstLine="420" w:firstLineChars="200"/>
    </w:pPr>
    <w:rPr>
      <w:szCs w:val="21"/>
    </w:rPr>
  </w:style>
  <w:style w:type="paragraph" w:customStyle="1" w:styleId="78">
    <w:name w:val="Char Char Char"/>
    <w:basedOn w:val="1"/>
    <w:qFormat/>
    <w:uiPriority w:val="99"/>
    <w:rPr>
      <w:rFonts w:ascii="Tahoma" w:hAnsi="Tahoma" w:cs="Tahoma"/>
      <w:sz w:val="24"/>
    </w:rPr>
  </w:style>
  <w:style w:type="character" w:customStyle="1" w:styleId="79">
    <w:name w:val="font31"/>
    <w:uiPriority w:val="99"/>
    <w:rPr>
      <w:rFonts w:ascii="宋体" w:hAnsi="宋体" w:eastAsia="宋体"/>
      <w:color w:val="FF0000"/>
      <w:sz w:val="20"/>
      <w:u w:val="none"/>
    </w:rPr>
  </w:style>
  <w:style w:type="character" w:customStyle="1" w:styleId="80">
    <w:name w:val="font51"/>
    <w:qFormat/>
    <w:uiPriority w:val="99"/>
    <w:rPr>
      <w:rFonts w:ascii="宋体" w:hAnsi="宋体" w:eastAsia="宋体"/>
      <w:color w:val="000000"/>
      <w:sz w:val="20"/>
      <w:u w:val="none"/>
    </w:rPr>
  </w:style>
  <w:style w:type="character" w:customStyle="1" w:styleId="81">
    <w:name w:val="font01"/>
    <w:qFormat/>
    <w:uiPriority w:val="99"/>
    <w:rPr>
      <w:rFonts w:ascii="宋体" w:hAnsi="宋体" w:eastAsia="宋体"/>
      <w:color w:val="000000"/>
      <w:sz w:val="20"/>
      <w:u w:val="none"/>
    </w:rPr>
  </w:style>
  <w:style w:type="character" w:customStyle="1" w:styleId="82">
    <w:name w:val="font41"/>
    <w:uiPriority w:val="99"/>
    <w:rPr>
      <w:rFonts w:ascii="宋体" w:hAnsi="宋体" w:eastAsia="宋体"/>
      <w:color w:val="000000"/>
      <w:sz w:val="20"/>
      <w:u w:val="none"/>
    </w:rPr>
  </w:style>
  <w:style w:type="character" w:customStyle="1" w:styleId="83">
    <w:name w:val="font11"/>
    <w:uiPriority w:val="99"/>
    <w:rPr>
      <w:rFonts w:ascii="宋体" w:hAnsi="宋体" w:eastAsia="宋体"/>
      <w:color w:val="000000"/>
      <w:sz w:val="20"/>
      <w:u w:val="none"/>
    </w:rPr>
  </w:style>
  <w:style w:type="paragraph" w:customStyle="1" w:styleId="84">
    <w:name w:val="列表段落1"/>
    <w:basedOn w:val="1"/>
    <w:qFormat/>
    <w:uiPriority w:val="99"/>
    <w:pPr>
      <w:ind w:firstLine="420" w:firstLineChars="200"/>
    </w:pPr>
    <w:rPr>
      <w:szCs w:val="21"/>
    </w:rPr>
  </w:style>
  <w:style w:type="paragraph" w:customStyle="1" w:styleId="85">
    <w:name w:val="_Style 8"/>
    <w:basedOn w:val="1"/>
    <w:qFormat/>
    <w:uiPriority w:val="99"/>
    <w:rPr>
      <w:rFonts w:ascii="Tahoma" w:hAnsi="Tahoma"/>
      <w:sz w:val="24"/>
      <w:szCs w:val="20"/>
    </w:rPr>
  </w:style>
  <w:style w:type="paragraph" w:customStyle="1" w:styleId="86">
    <w:name w:val="竖表标题不含说明"/>
    <w:basedOn w:val="87"/>
    <w:qFormat/>
    <w:uiPriority w:val="99"/>
    <w:pPr>
      <w:tabs>
        <w:tab w:val="center" w:pos="4820"/>
      </w:tabs>
      <w:spacing w:beforeLines="0" w:afterLines="0" w:line="240" w:lineRule="auto"/>
    </w:pPr>
  </w:style>
  <w:style w:type="paragraph" w:customStyle="1" w:styleId="87">
    <w:name w:val="竖表标题1级"/>
    <w:basedOn w:val="60"/>
    <w:qFormat/>
    <w:uiPriority w:val="99"/>
    <w:pPr>
      <w:tabs>
        <w:tab w:val="center" w:pos="4820"/>
        <w:tab w:val="clear" w:pos="4678"/>
      </w:tabs>
      <w:spacing w:beforeLines="100" w:afterLines="100"/>
    </w:pPr>
  </w:style>
  <w:style w:type="paragraph" w:customStyle="1" w:styleId="88">
    <w:name w:val="TOC Heading1"/>
    <w:basedOn w:val="2"/>
    <w:next w:val="1"/>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89">
    <w:name w:val="列出段落3"/>
    <w:basedOn w:val="1"/>
    <w:qFormat/>
    <w:uiPriority w:val="0"/>
    <w:pPr>
      <w:ind w:firstLine="420" w:firstLineChars="200"/>
    </w:pPr>
  </w:style>
  <w:style w:type="paragraph" w:customStyle="1" w:styleId="90">
    <w:name w:val="表格1级"/>
    <w:basedOn w:val="1"/>
    <w:qFormat/>
    <w:uiPriority w:val="0"/>
    <w:pPr>
      <w:tabs>
        <w:tab w:val="left" w:pos="210"/>
        <w:tab w:val="center" w:pos="4620"/>
      </w:tabs>
      <w:spacing w:before="50" w:beforeLines="50" w:after="50" w:afterLines="50"/>
      <w:jc w:val="center"/>
      <w:outlineLvl w:val="0"/>
    </w:pPr>
    <w:rPr>
      <w:rFonts w:eastAsia="CESI宋体-GB2312"/>
      <w:b/>
      <w:sz w:val="28"/>
    </w:rPr>
  </w:style>
  <w:style w:type="paragraph" w:customStyle="1" w:styleId="91">
    <w:name w:val="说明1级"/>
    <w:basedOn w:val="1"/>
    <w:uiPriority w:val="0"/>
    <w:pPr>
      <w:tabs>
        <w:tab w:val="center" w:pos="4200"/>
      </w:tabs>
      <w:spacing w:before="50" w:beforeLines="50" w:after="50" w:afterLines="50" w:line="360" w:lineRule="auto"/>
      <w:jc w:val="center"/>
      <w:outlineLvl w:val="0"/>
    </w:pPr>
    <w:rPr>
      <w:rFonts w:eastAsia="CESI宋体-GB2312"/>
      <w:b/>
      <w:sz w:val="28"/>
    </w:rPr>
  </w:style>
  <w:style w:type="paragraph" w:customStyle="1" w:styleId="92">
    <w:name w:val="填报说明正文"/>
    <w:basedOn w:val="1"/>
    <w:link w:val="93"/>
    <w:uiPriority w:val="0"/>
    <w:pPr>
      <w:spacing w:line="480" w:lineRule="exact"/>
      <w:ind w:firstLine="640" w:firstLineChars="200"/>
    </w:pPr>
    <w:rPr>
      <w:rFonts w:eastAsia="CESI宋体-GB2312"/>
      <w:sz w:val="24"/>
    </w:rPr>
  </w:style>
  <w:style w:type="character" w:customStyle="1" w:styleId="93">
    <w:name w:val="填报说明正文 Char"/>
    <w:link w:val="92"/>
    <w:uiPriority w:val="0"/>
    <w:rPr>
      <w:rFonts w:eastAsia="CESI宋体-GB2312"/>
      <w:kern w:val="2"/>
      <w:sz w:val="24"/>
      <w:szCs w:val="24"/>
    </w:rPr>
  </w:style>
  <w:style w:type="paragraph" w:customStyle="1" w:styleId="94">
    <w:name w:val="文章内表格标题"/>
    <w:basedOn w:val="1"/>
    <w:qFormat/>
    <w:uiPriority w:val="0"/>
    <w:pPr>
      <w:snapToGrid w:val="0"/>
      <w:spacing w:line="520" w:lineRule="exact"/>
      <w:jc w:val="center"/>
    </w:pPr>
    <w:rPr>
      <w:rFonts w:eastAsia="CESI宋体-GB2312"/>
      <w:b/>
      <w:sz w:val="24"/>
    </w:rPr>
  </w:style>
  <w:style w:type="paragraph" w:customStyle="1" w:styleId="95">
    <w:name w:val="说明2级"/>
    <w:basedOn w:val="1"/>
    <w:qFormat/>
    <w:uiPriority w:val="0"/>
    <w:pPr>
      <w:spacing w:before="50" w:beforeLines="50" w:line="360" w:lineRule="auto"/>
      <w:ind w:firstLine="640" w:firstLineChars="200"/>
      <w:outlineLvl w:val="1"/>
    </w:pPr>
    <w:rPr>
      <w:rFonts w:eastAsia="CESI黑体-GB2312"/>
      <w:sz w:val="24"/>
    </w:rPr>
  </w:style>
  <w:style w:type="table" w:customStyle="1" w:styleId="9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2663</Words>
  <Characters>2902</Characters>
  <Lines>22</Lines>
  <Paragraphs>6</Paragraphs>
  <TotalTime>0</TotalTime>
  <ScaleCrop>false</ScaleCrop>
  <LinksUpToDate>false</LinksUpToDate>
  <CharactersWithSpaces>3011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2022-01-08T12:34:00Z</dcterms:created>
  <dc:creator>曹凯</dc:creator>
  <cp:lastModifiedBy>默默</cp:lastModifiedBy>
  <cp:lastPrinted>2018-01-30T01:54:00Z</cp:lastPrinted>
  <dcterms:modified xsi:type="dcterms:W3CDTF">2023-01-14T12:04:23Z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CCE423A0A0904FB6835D665E3F1DEE58</vt:lpwstr>
  </property>
</Properties>
</file>