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spacing w:before="120" w:after="120"/>
        <w:rPr>
          <w:rFonts w:hint="eastAsia" w:ascii="宋体" w:hAnsi="宋体" w:eastAsia="宋体" w:cs="宋体"/>
        </w:rPr>
      </w:pPr>
      <w:bookmarkStart w:id="0" w:name="_Toc1967971712_WPSOffice_Level1"/>
      <w:bookmarkStart w:id="1" w:name="_Toc24965051"/>
      <w:bookmarkStart w:id="2" w:name="_Toc1653344660_WPSOffice_Level1"/>
      <w:bookmarkStart w:id="3" w:name="_Toc60824580"/>
      <w:bookmarkStart w:id="4" w:name="_Toc24965057"/>
      <w:r>
        <w:rPr>
          <w:rFonts w:hint="eastAsia" w:ascii="宋体" w:hAnsi="宋体" w:eastAsia="宋体" w:cs="宋体"/>
        </w:rPr>
        <w:t>A107010</w:t>
      </w:r>
      <w:r>
        <w:rPr>
          <w:rFonts w:hint="eastAsia" w:ascii="宋体" w:hAnsi="宋体" w:eastAsia="宋体" w:cs="宋体"/>
        </w:rPr>
        <w:tab/>
      </w:r>
      <w:r>
        <w:rPr>
          <w:rFonts w:hint="eastAsia" w:ascii="宋体" w:hAnsi="宋体" w:eastAsia="宋体" w:cs="宋体"/>
        </w:rPr>
        <w:t>免税、减计收入及加计扣除优惠明细表</w:t>
      </w:r>
      <w:bookmarkEnd w:id="0"/>
      <w:bookmarkEnd w:id="1"/>
      <w:bookmarkEnd w:id="2"/>
      <w:bookmarkEnd w:id="3"/>
    </w:p>
    <w:tbl>
      <w:tblPr>
        <w:tblStyle w:val="96"/>
        <w:tblW w:w="9954" w:type="dxa"/>
        <w:tblInd w:w="-441" w:type="dxa"/>
        <w:tblLayout w:type="autofit"/>
        <w:tblCellMar>
          <w:top w:w="75" w:type="dxa"/>
          <w:left w:w="0" w:type="dxa"/>
          <w:bottom w:w="0" w:type="dxa"/>
          <w:right w:w="109" w:type="dxa"/>
        </w:tblCellMar>
      </w:tblPr>
      <w:tblGrid>
        <w:gridCol w:w="823"/>
        <w:gridCol w:w="8079"/>
        <w:gridCol w:w="726"/>
        <w:gridCol w:w="326"/>
      </w:tblGrid>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12" w:space="0"/>
              <w:left w:val="single" w:color="000000" w:sz="12" w:space="0"/>
              <w:bottom w:val="single" w:color="000000" w:sz="6" w:space="0"/>
              <w:right w:val="single" w:color="000000" w:sz="6" w:space="0"/>
            </w:tcBorders>
          </w:tcPr>
          <w:p>
            <w:pPr>
              <w:spacing w:after="0" w:line="259" w:lineRule="auto"/>
              <w:ind w:left="211" w:firstLine="0"/>
            </w:pPr>
            <w:r>
              <w:rPr>
                <w:sz w:val="20"/>
              </w:rPr>
              <w:t>行次</w:t>
            </w:r>
          </w:p>
        </w:tc>
        <w:tc>
          <w:tcPr>
            <w:tcW w:w="8079" w:type="dxa"/>
            <w:tcBorders>
              <w:top w:val="single" w:color="000000" w:sz="12" w:space="0"/>
              <w:left w:val="single" w:color="000000" w:sz="6" w:space="0"/>
              <w:bottom w:val="single" w:color="000000" w:sz="6" w:space="0"/>
              <w:right w:val="single" w:color="000000" w:sz="6" w:space="0"/>
            </w:tcBorders>
          </w:tcPr>
          <w:p>
            <w:pPr>
              <w:tabs>
                <w:tab w:val="center" w:pos="3738"/>
                <w:tab w:val="center" w:pos="4338"/>
              </w:tabs>
              <w:spacing w:after="0" w:line="259" w:lineRule="auto"/>
              <w:ind w:left="0" w:firstLine="0"/>
            </w:pPr>
            <w:r>
              <w:rPr>
                <w:rFonts w:ascii="Calibri" w:hAnsi="Calibri" w:eastAsia="Calibri" w:cs="Calibri"/>
                <w:sz w:val="22"/>
              </w:rPr>
              <w:tab/>
            </w:r>
            <w:r>
              <w:rPr>
                <w:sz w:val="20"/>
              </w:rPr>
              <w:t>项</w:t>
            </w:r>
            <w:r>
              <w:rPr>
                <w:sz w:val="20"/>
              </w:rPr>
              <w:tab/>
            </w:r>
            <w:r>
              <w:rPr>
                <w:sz w:val="20"/>
              </w:rPr>
              <w:t>目</w:t>
            </w:r>
          </w:p>
        </w:tc>
        <w:tc>
          <w:tcPr>
            <w:tcW w:w="726" w:type="dxa"/>
            <w:tcBorders>
              <w:top w:val="single" w:color="000000" w:sz="12" w:space="0"/>
              <w:left w:val="single" w:color="000000" w:sz="6" w:space="0"/>
              <w:bottom w:val="single" w:color="000000" w:sz="6" w:space="0"/>
              <w:right w:val="nil"/>
            </w:tcBorders>
          </w:tcPr>
          <w:p>
            <w:pPr>
              <w:spacing w:after="0" w:line="259" w:lineRule="auto"/>
              <w:ind w:left="126" w:firstLine="0"/>
            </w:pPr>
            <w:r>
              <w:rPr>
                <w:sz w:val="20"/>
              </w:rPr>
              <w:t>金</w:t>
            </w:r>
          </w:p>
        </w:tc>
        <w:tc>
          <w:tcPr>
            <w:tcW w:w="326" w:type="dxa"/>
            <w:tcBorders>
              <w:top w:val="single" w:color="000000" w:sz="12" w:space="0"/>
              <w:left w:val="nil"/>
              <w:bottom w:val="single" w:color="000000" w:sz="6" w:space="0"/>
              <w:right w:val="single" w:color="000000" w:sz="12" w:space="0"/>
            </w:tcBorders>
          </w:tcPr>
          <w:p>
            <w:pPr>
              <w:spacing w:after="0" w:line="259" w:lineRule="auto"/>
              <w:ind w:left="0" w:firstLine="0"/>
              <w:jc w:val="both"/>
            </w:pPr>
            <w:r>
              <w:rPr>
                <w:sz w:val="20"/>
              </w:rPr>
              <w:t>额</w:t>
            </w: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108" w:firstLine="0"/>
            </w:pPr>
            <w:r>
              <w:rPr>
                <w:sz w:val="20"/>
              </w:rPr>
              <w:t>一、免税收入（2+3+9+…+16）</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2</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（一）国债利息收入免征企业所得税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679" w:hRule="atLeast"/>
        </w:trPr>
        <w:tc>
          <w:tcPr>
            <w:tcW w:w="823"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109" w:firstLine="0"/>
              <w:jc w:val="center"/>
            </w:pPr>
            <w:r>
              <w:rPr>
                <w:sz w:val="20"/>
              </w:rPr>
              <w:t>3</w:t>
            </w:r>
          </w:p>
        </w:tc>
        <w:tc>
          <w:tcPr>
            <w:tcW w:w="8079" w:type="dxa"/>
            <w:tcBorders>
              <w:top w:val="single" w:color="000000" w:sz="6" w:space="0"/>
              <w:left w:val="single" w:color="000000" w:sz="6" w:space="0"/>
              <w:bottom w:val="single" w:color="000000" w:sz="6" w:space="0"/>
              <w:right w:val="single" w:color="000000" w:sz="6" w:space="0"/>
            </w:tcBorders>
          </w:tcPr>
          <w:p>
            <w:pPr>
              <w:spacing w:after="52" w:line="259" w:lineRule="auto"/>
              <w:ind w:left="40" w:firstLine="0"/>
              <w:jc w:val="center"/>
            </w:pPr>
            <w:r>
              <w:rPr>
                <w:sz w:val="20"/>
              </w:rPr>
              <w:t>（二）符合条件的居民企业之间的股息、红利等权益性投资收益免征企业所得税</w:t>
            </w:r>
          </w:p>
          <w:p>
            <w:pPr>
              <w:spacing w:after="0" w:line="259" w:lineRule="auto"/>
              <w:ind w:left="1101" w:firstLine="0"/>
            </w:pPr>
            <w:r>
              <w:rPr>
                <w:sz w:val="20"/>
              </w:rPr>
              <w:t>（4+5+6+7+8）</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4</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0" w:right="120" w:firstLine="0"/>
              <w:jc w:val="center"/>
            </w:pPr>
            <w:r>
              <w:rPr>
                <w:sz w:val="20"/>
              </w:rPr>
              <w:t>1.一般股息红利等权益性投资收益免征企业所得税（填写A107011）</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679" w:hRule="atLeast"/>
        </w:trPr>
        <w:tc>
          <w:tcPr>
            <w:tcW w:w="823"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109" w:firstLine="0"/>
              <w:jc w:val="center"/>
            </w:pPr>
            <w:r>
              <w:rPr>
                <w:sz w:val="20"/>
              </w:rPr>
              <w:t>5</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1118" w:hanging="168"/>
            </w:pPr>
            <w:r>
              <w:rPr>
                <w:sz w:val="20"/>
              </w:rPr>
              <w:t>2.内地居民企业通过沪港通投资且连续持有H股满12个月取得的股息红利所得免征企业所得税（填写A107011）</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679" w:hRule="atLeast"/>
        </w:trPr>
        <w:tc>
          <w:tcPr>
            <w:tcW w:w="823"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109" w:firstLine="0"/>
              <w:jc w:val="center"/>
            </w:pPr>
            <w:r>
              <w:rPr>
                <w:sz w:val="20"/>
              </w:rPr>
              <w:t>6</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1118" w:hanging="168"/>
            </w:pPr>
            <w:r>
              <w:rPr>
                <w:sz w:val="20"/>
              </w:rPr>
              <w:t>3.内地居民企业通过深港通投资且连续持有H股满12个月取得的股息红利所得免征企业所得税（填写A107011）</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679" w:hRule="atLeast"/>
        </w:trPr>
        <w:tc>
          <w:tcPr>
            <w:tcW w:w="823"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109" w:firstLine="0"/>
              <w:jc w:val="center"/>
            </w:pPr>
            <w:r>
              <w:rPr>
                <w:sz w:val="20"/>
              </w:rPr>
              <w:t>7</w:t>
            </w:r>
          </w:p>
        </w:tc>
        <w:tc>
          <w:tcPr>
            <w:tcW w:w="8079" w:type="dxa"/>
            <w:tcBorders>
              <w:top w:val="single" w:color="000000" w:sz="6" w:space="0"/>
              <w:left w:val="single" w:color="000000" w:sz="6" w:space="0"/>
              <w:bottom w:val="single" w:color="000000" w:sz="6" w:space="0"/>
              <w:right w:val="single" w:color="000000" w:sz="6" w:space="0"/>
            </w:tcBorders>
          </w:tcPr>
          <w:p>
            <w:pPr>
              <w:spacing w:after="52" w:line="259" w:lineRule="auto"/>
              <w:ind w:left="328" w:firstLine="0"/>
              <w:jc w:val="center"/>
            </w:pPr>
            <w:r>
              <w:rPr>
                <w:sz w:val="20"/>
              </w:rPr>
              <w:t>4.居民企业持有创新企业CDR取得的股息红利所得免征企业所得税（填写</w:t>
            </w:r>
          </w:p>
          <w:p>
            <w:pPr>
              <w:spacing w:after="0" w:line="259" w:lineRule="auto"/>
              <w:ind w:left="1260" w:firstLine="0"/>
            </w:pPr>
            <w:r>
              <w:rPr>
                <w:sz w:val="20"/>
              </w:rPr>
              <w:t>A107011）</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8</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50" w:firstLine="0"/>
            </w:pPr>
            <w:r>
              <w:rPr>
                <w:sz w:val="20"/>
              </w:rPr>
              <w:t>5.符合条件的永续债利息收入免征企业所得税（填写A107011）</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9</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（三）符合条件的非营利组织的收入免征企业所得税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10</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（四）中国清洁发展机制基金取得的收入免征企业所得税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11</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（五）投资者从证券投资基金分配中取得的收入免征企业所得税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12</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（六）取得的地方政府债券利息收入免征企业所得税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13</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247" w:firstLine="0"/>
              <w:jc w:val="center"/>
            </w:pPr>
            <w:r>
              <w:rPr>
                <w:sz w:val="20"/>
              </w:rPr>
              <w:t>（七）中国保险保障基金有限责任公司取得的保险保障基金等收入免征企业所得税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14</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（八）中国奥委会取得北京冬奥组委支付的收入免征企业所得税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15</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（九）中国残奥委会取得北京冬奥组委分期支付的收入免征企业所得税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16</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（十）其他（16.1+16.2）</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7" w:firstLine="0"/>
              <w:jc w:val="center"/>
            </w:pPr>
            <w:r>
              <w:rPr>
                <w:sz w:val="20"/>
              </w:rPr>
              <w:t>16.1</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07" w:firstLine="0"/>
            </w:pPr>
            <w:r>
              <w:rPr>
                <w:sz w:val="20"/>
              </w:rPr>
              <w:t>1.取得的基础研究资金收入免征企业所得税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7" w:firstLine="0"/>
              <w:jc w:val="center"/>
            </w:pPr>
            <w:r>
              <w:rPr>
                <w:sz w:val="20"/>
              </w:rPr>
              <w:t>16.2</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07" w:firstLine="0"/>
            </w:pPr>
            <w:r>
              <w:rPr>
                <w:sz w:val="20"/>
              </w:rPr>
              <w:t>2.其他</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17</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108" w:firstLine="0"/>
            </w:pPr>
            <w:r>
              <w:rPr>
                <w:sz w:val="20"/>
              </w:rPr>
              <w:t>二、减计收入（18+19+23+24）</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18</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（一）综合利用资源生产产品取得的收入在计算应纳税所得额时减计收入</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19</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（二）金融、保险等机构取得的涉农利息、保费减计收入（20+21+22）</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20</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0" w:right="157" w:firstLine="0"/>
              <w:jc w:val="center"/>
            </w:pPr>
            <w:r>
              <w:rPr>
                <w:sz w:val="20"/>
              </w:rPr>
              <w:t>1.金融机构取得的涉农贷款利息收入在计算应纳税所得额时减计收入</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21</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07" w:firstLine="0"/>
            </w:pPr>
            <w:r>
              <w:rPr>
                <w:sz w:val="20"/>
              </w:rPr>
              <w:t>2.保险机构取得的涉农保费收入在计算应纳税所得额时减计收入</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22</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07" w:firstLine="0"/>
            </w:pPr>
            <w:r>
              <w:rPr>
                <w:sz w:val="20"/>
              </w:rPr>
              <w:t>3.小额贷款公司取得的农户小额贷款利息收入在计算应纳税所得额时减计收入</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23</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（三）取得铁路债券利息收入减半征收企业所得税</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24</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508" w:firstLine="0"/>
            </w:pPr>
            <w:r>
              <w:rPr>
                <w:sz w:val="20"/>
              </w:rPr>
              <w:t>（四）其他（24.1+24.2）</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7" w:firstLine="0"/>
              <w:jc w:val="center"/>
            </w:pPr>
            <w:r>
              <w:rPr>
                <w:sz w:val="20"/>
              </w:rPr>
              <w:t>24.1</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07" w:firstLine="0"/>
            </w:pPr>
            <w:r>
              <w:rPr>
                <w:sz w:val="20"/>
              </w:rPr>
              <w:t>1.取得的社区家庭服务收入在计算应纳税所得额时减计收入</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7" w:firstLine="0"/>
              <w:jc w:val="center"/>
            </w:pPr>
            <w:r>
              <w:rPr>
                <w:sz w:val="20"/>
              </w:rPr>
              <w:t>24.2</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07" w:firstLine="0"/>
            </w:pPr>
            <w:r>
              <w:rPr>
                <w:sz w:val="20"/>
              </w:rPr>
              <w:t>2.其他</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5" w:type="dxa"/>
            <w:left w:w="0" w:type="dxa"/>
            <w:bottom w:w="0" w:type="dxa"/>
            <w:right w:w="109" w:type="dxa"/>
          </w:tblCellMar>
        </w:tblPrEx>
        <w:trPr>
          <w:wBefore w:w="0" w:type="auto"/>
          <w:wAfter w:w="0" w:type="auto"/>
          <w:trHeight w:val="353"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109" w:firstLine="0"/>
              <w:jc w:val="center"/>
            </w:pPr>
            <w:r>
              <w:rPr>
                <w:sz w:val="20"/>
              </w:rPr>
              <w:t>25</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108" w:firstLine="0"/>
            </w:pPr>
            <w:r>
              <w:rPr>
                <w:sz w:val="20"/>
              </w:rPr>
              <w:t>三、加计扣除（26+27+28+29+30）</w:t>
            </w:r>
          </w:p>
        </w:tc>
        <w:tc>
          <w:tcPr>
            <w:tcW w:w="726" w:type="dxa"/>
            <w:tcBorders>
              <w:top w:val="single" w:color="000000" w:sz="6" w:space="0"/>
              <w:left w:val="single" w:color="000000" w:sz="6" w:space="0"/>
              <w:bottom w:val="single" w:color="000000" w:sz="6" w:space="0"/>
              <w:right w:val="nil"/>
            </w:tcBorders>
          </w:tcPr>
          <w:p>
            <w:pPr>
              <w:spacing w:after="160" w:line="259" w:lineRule="auto"/>
              <w:ind w:left="0" w:firstLine="0"/>
            </w:pPr>
          </w:p>
        </w:tc>
        <w:tc>
          <w:tcPr>
            <w:tcW w:w="326" w:type="dxa"/>
            <w:tcBorders>
              <w:top w:val="single" w:color="000000" w:sz="6" w:space="0"/>
              <w:left w:val="nil"/>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2" w:firstLine="0"/>
              <w:jc w:val="center"/>
            </w:pPr>
            <w:r>
              <w:rPr>
                <w:sz w:val="20"/>
              </w:rPr>
              <w:t>26</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288" w:firstLine="0"/>
              <w:jc w:val="center"/>
            </w:pPr>
            <w:r>
              <w:rPr>
                <w:sz w:val="20"/>
              </w:rPr>
              <w:t>（一）开发新技术、新产品、新工艺发生的研究开发费用加计扣除（填写A107012）</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679" w:hRule="atLeast"/>
        </w:trPr>
        <w:tc>
          <w:tcPr>
            <w:tcW w:w="823"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 w:firstLine="0"/>
              <w:jc w:val="center"/>
            </w:pPr>
            <w:r>
              <w:rPr>
                <w:sz w:val="20"/>
              </w:rPr>
              <w:t>27</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93" w:hanging="595"/>
            </w:pPr>
            <w:r>
              <w:rPr>
                <w:sz w:val="20"/>
              </w:rPr>
              <w:t>（二）科技型中小企业开发新技术、新产品、新工艺发生的研究开发费用加计扣除（填写A107012）</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679" w:hRule="atLeast"/>
        </w:trPr>
        <w:tc>
          <w:tcPr>
            <w:tcW w:w="823"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 w:firstLine="0"/>
              <w:jc w:val="center"/>
            </w:pPr>
            <w:r>
              <w:rPr>
                <w:sz w:val="20"/>
              </w:rPr>
              <w:t>28</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993" w:hanging="595"/>
            </w:pPr>
            <w:r>
              <w:rPr>
                <w:sz w:val="20"/>
              </w:rPr>
              <w:t>（三）企业为获得创新性、创意性、突破性的产品进行创意设计活动而发生的相关费用加计扣除（加计扣除比例及计算方法：_____）</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0" w:right="1" w:firstLine="0"/>
              <w:jc w:val="center"/>
            </w:pPr>
            <w:r>
              <w:rPr>
                <w:sz w:val="20"/>
              </w:rPr>
              <w:t>28.1</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其中：第四季度相关费用加计扣除</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0" w:right="1" w:firstLine="0"/>
              <w:jc w:val="center"/>
            </w:pPr>
            <w:r>
              <w:rPr>
                <w:sz w:val="20"/>
              </w:rPr>
              <w:t>28.2</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1399" w:firstLine="0"/>
            </w:pPr>
            <w:r>
              <w:rPr>
                <w:sz w:val="20"/>
              </w:rPr>
              <w:t>前三季度相关费用加计扣除</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2" w:firstLine="0"/>
              <w:jc w:val="center"/>
            </w:pPr>
            <w:r>
              <w:rPr>
                <w:sz w:val="20"/>
              </w:rPr>
              <w:t>29</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（四）安置残疾人员所支付的工资加计扣除</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2" w:firstLine="0"/>
              <w:jc w:val="center"/>
            </w:pPr>
            <w:r>
              <w:rPr>
                <w:sz w:val="20"/>
              </w:rPr>
              <w:t>30</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（五）其他（30.1+30.2+30.3）</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0" w:right="1" w:firstLine="0"/>
              <w:jc w:val="center"/>
            </w:pPr>
            <w:r>
              <w:rPr>
                <w:sz w:val="20"/>
              </w:rPr>
              <w:t>30.1</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1.企业投入基础研究支出加计扣除</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0" w:right="1" w:firstLine="0"/>
              <w:jc w:val="center"/>
            </w:pPr>
            <w:r>
              <w:rPr>
                <w:sz w:val="20"/>
              </w:rPr>
              <w:t>30.2</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2.高新技术企业设备器具加计扣除</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55" w:hRule="atLeast"/>
        </w:trPr>
        <w:tc>
          <w:tcPr>
            <w:tcW w:w="823" w:type="dxa"/>
            <w:tcBorders>
              <w:top w:val="single" w:color="000000" w:sz="6" w:space="0"/>
              <w:left w:val="single" w:color="000000" w:sz="12" w:space="0"/>
              <w:bottom w:val="single" w:color="000000" w:sz="6" w:space="0"/>
              <w:right w:val="single" w:color="000000" w:sz="6" w:space="0"/>
            </w:tcBorders>
          </w:tcPr>
          <w:p>
            <w:pPr>
              <w:spacing w:after="0" w:line="259" w:lineRule="auto"/>
              <w:ind w:left="0" w:right="1" w:firstLine="0"/>
              <w:jc w:val="center"/>
            </w:pPr>
            <w:r>
              <w:rPr>
                <w:sz w:val="20"/>
              </w:rPr>
              <w:t>30.3</w:t>
            </w:r>
          </w:p>
        </w:tc>
        <w:tc>
          <w:tcPr>
            <w:tcW w:w="8079"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3.其他</w:t>
            </w:r>
          </w:p>
        </w:tc>
        <w:tc>
          <w:tcPr>
            <w:tcW w:w="1052" w:type="dxa"/>
            <w:gridSpan w:val="2"/>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09" w:type="dxa"/>
          </w:tblCellMar>
        </w:tblPrEx>
        <w:trPr>
          <w:wAfter w:w="0" w:type="auto"/>
          <w:trHeight w:val="362" w:hRule="atLeast"/>
        </w:trPr>
        <w:tc>
          <w:tcPr>
            <w:tcW w:w="823" w:type="dxa"/>
            <w:tcBorders>
              <w:top w:val="single" w:color="000000" w:sz="6" w:space="0"/>
              <w:left w:val="single" w:color="000000" w:sz="12" w:space="0"/>
              <w:bottom w:val="single" w:color="000000" w:sz="12" w:space="0"/>
              <w:right w:val="single" w:color="000000" w:sz="6" w:space="0"/>
            </w:tcBorders>
          </w:tcPr>
          <w:p>
            <w:pPr>
              <w:spacing w:after="0" w:line="259" w:lineRule="auto"/>
              <w:ind w:left="2" w:firstLine="0"/>
              <w:jc w:val="center"/>
            </w:pPr>
            <w:r>
              <w:rPr>
                <w:sz w:val="20"/>
              </w:rPr>
              <w:t>31</w:t>
            </w:r>
          </w:p>
        </w:tc>
        <w:tc>
          <w:tcPr>
            <w:tcW w:w="8079" w:type="dxa"/>
            <w:tcBorders>
              <w:top w:val="single" w:color="000000" w:sz="6" w:space="0"/>
              <w:left w:val="single" w:color="000000" w:sz="6" w:space="0"/>
              <w:bottom w:val="single" w:color="000000" w:sz="12" w:space="0"/>
              <w:right w:val="single" w:color="000000" w:sz="6" w:space="0"/>
            </w:tcBorders>
          </w:tcPr>
          <w:p>
            <w:pPr>
              <w:spacing w:after="0" w:line="259" w:lineRule="auto"/>
              <w:ind w:left="0" w:firstLine="0"/>
            </w:pPr>
            <w:r>
              <w:rPr>
                <w:sz w:val="20"/>
              </w:rPr>
              <w:t>合计（1+17+25）</w:t>
            </w:r>
          </w:p>
        </w:tc>
        <w:tc>
          <w:tcPr>
            <w:tcW w:w="1052" w:type="dxa"/>
            <w:gridSpan w:val="2"/>
            <w:tcBorders>
              <w:top w:val="single" w:color="000000" w:sz="6" w:space="0"/>
              <w:left w:val="single" w:color="000000" w:sz="6" w:space="0"/>
              <w:bottom w:val="single" w:color="000000" w:sz="12" w:space="0"/>
              <w:right w:val="single" w:color="000000" w:sz="12" w:space="0"/>
            </w:tcBorders>
          </w:tcPr>
          <w:p>
            <w:pPr>
              <w:spacing w:after="160" w:line="259" w:lineRule="auto"/>
              <w:ind w:left="0" w:firstLine="0"/>
            </w:pPr>
          </w:p>
        </w:tc>
      </w:tr>
    </w:tbl>
    <w:p>
      <w:pPr>
        <w:rPr>
          <w:rFonts w:ascii="宋体" w:hAnsi="宋体" w:cs="宋体"/>
        </w:rPr>
        <w:sectPr>
          <w:footerReference r:id="rId3" w:type="first"/>
          <w:pgSz w:w="11906" w:h="16838"/>
          <w:pgMar w:top="1134" w:right="1418" w:bottom="1134" w:left="1418" w:header="851" w:footer="992" w:gutter="0"/>
          <w:pgNumType w:fmt="numberInDash"/>
          <w:cols w:space="720" w:num="1"/>
          <w:docGrid w:linePitch="312" w:charSpace="0"/>
        </w:sectPr>
      </w:pPr>
    </w:p>
    <w:p>
      <w:pPr>
        <w:pStyle w:val="91"/>
        <w:spacing w:before="156" w:after="156"/>
        <w:rPr>
          <w:rFonts w:ascii="宋体" w:hAnsi="宋体" w:eastAsia="宋体" w:cs="宋体"/>
          <w:lang w:val="zh-CN"/>
        </w:rPr>
      </w:pPr>
      <w:bookmarkStart w:id="5" w:name="_Toc60824581"/>
      <w:bookmarkStart w:id="6" w:name="_Toc991818635_WPSOffice_Level1"/>
      <w:bookmarkStart w:id="7" w:name="_Toc24965052"/>
      <w:bookmarkStart w:id="8" w:name="_Toc1691326268_WPSOffice_Level1"/>
      <w:r>
        <w:rPr>
          <w:rFonts w:hint="eastAsia" w:ascii="宋体" w:hAnsi="宋体" w:eastAsia="宋体" w:cs="宋体"/>
          <w:lang w:val="zh-CN"/>
        </w:rPr>
        <w:t>A107010</w:t>
      </w:r>
      <w:r>
        <w:rPr>
          <w:rFonts w:hint="eastAsia" w:ascii="宋体" w:hAnsi="宋体" w:eastAsia="宋体" w:cs="宋体"/>
          <w:lang w:val="zh-CN"/>
        </w:rPr>
        <w:tab/>
      </w:r>
      <w:r>
        <w:rPr>
          <w:rFonts w:hint="eastAsia" w:ascii="宋体" w:hAnsi="宋体" w:eastAsia="宋体" w:cs="宋体"/>
          <w:lang w:val="zh-CN"/>
        </w:rPr>
        <w:t>《免税、减计收入及加计扣除优惠明细表》填报说明</w:t>
      </w:r>
      <w:bookmarkEnd w:id="5"/>
      <w:bookmarkEnd w:id="6"/>
      <w:bookmarkEnd w:id="7"/>
      <w:bookmarkEnd w:id="8"/>
    </w:p>
    <w:bookmarkEnd w:id="4"/>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本表适用于享受免税收入、减计收入和加计扣除优惠的纳税人填报。纳税人根据税法及相关税收政策规定，填报本年发生的免税收入、减计收入和加计扣除优惠情况。</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一、有关项目填报说明</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96" w:right="490"/>
        <w:jc w:val="center"/>
        <w:textAlignment w:val="auto"/>
        <w:rPr>
          <w:sz w:val="24"/>
          <w:szCs w:val="24"/>
        </w:rPr>
      </w:pPr>
      <w:r>
        <w:rPr>
          <w:sz w:val="24"/>
          <w:szCs w:val="24"/>
        </w:rPr>
        <w:t>1.第1行“一、免税收入”：填报第2+3+9+10+11+12+13+14+15+16行金额。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第2行“（一）国债利息收入免征企业所得税”：填报纳税人根据《国家税务总局关于企业国债投资业务企业所得税处理问题的公告》（2011年第36号）等相关税收政策规定，持有国务院财政部门发行的国债取得的利息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3.第3行“（二）符合条件的居民企业之间的股息、红利等权益性投资收益免征企业所得税”：填报《符合条件的居民企业之间的股息、红利等权益性投资收益优惠明细表》（A107011）第8行第17列金额。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4.第4行“1.一般股息红利等权益性投资收益免征企业所得税”：填报《中华人民共和国企业所得税法实施条例》第八十三条规定的投资收益，不含持有H股、创新企业</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CDR、永续债取得的投资收益，按表A107011第9行第17列金额填报。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5.第5行“2.内地居民企业通过沪港通投资且连续持有H股满12个月取得的股息红利所得免征企业所得税”：填报根据《财政部 国家税务总局 证监会关于沪港股票市场交易互联互通机制试点有关税收政策的通知》（财税〔2014〕81号）等相关税收政策规定，内地居民企业连续持有H股满12个月取得的股息红利所得，按表A107011第10 行第17列金额填报。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6.第6行“3.内地居民企业通过深港通投资且连续持有H股满12个月取得的股息红利所得免征企业所得税”：填报根据《财政部 国家税务总局 证监会关于深港股票市场交易互联互通机制试点有关税收政策的通知》（财税〔2016〕127号）等相关税收政策规定，内地居民企业连续持有H股满12个月取得的股息红利所得，按表A107011第 11行第17列金额填报。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7.第7行“居民企业持有创新企业CDR取得的股息红利所得免征企业所得税”：填报根据《财政部 税务总局 证监会关于创新企业境内发行存托凭证试点阶段有关税收政策的公告》（2019年第52号）等相关税收政策规定，居民企业持有创新企业CDR取得的股息红利所得，按表A107011第12行第17列金额填报。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8.第8行“符合条件的永续债利息收入免征企业所得税”：填报根据《财政部 税务总局关于永续债企业所得税政策问题的公告》（2019年第64号）等相关税收政策规定，居民企业取得的可以适用企业所得税法规定的居民企业之间的股息、红利等权益性投资收益免征企业所得税规定的永续债利息收入，按表A107011第13行第17列金额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9"/>
        <w:jc w:val="right"/>
        <w:textAlignment w:val="auto"/>
        <w:rPr>
          <w:sz w:val="24"/>
          <w:szCs w:val="24"/>
        </w:rPr>
      </w:pPr>
      <w:r>
        <w:rPr>
          <w:sz w:val="24"/>
          <w:szCs w:val="24"/>
        </w:rPr>
        <w:t>9.第9行“（三）符合条件的非营利组织的收入免征企业所得税”：填报根据税法、</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《财政部 国家税务总局关于非营利组织企业所得税免税收入问题的通知》（财税〔2009〕</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122号）、《财政部 税务总局关于非营利组织免税资格认定管理有关问题的通知》（财税〔2018〕13号）等相关税收政策规定，认定的符合条件的非营利组织，取得的捐赠收入等免税收入，但不包括从事营利性活动所取得的收入。当表A000000“207非营利组织”选择“是”时，本行可以填报，否则不得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10.第10行“（四）中国清洁发展机制基金取得的收入免征企业所得税”：填报根据《财政部 国家税务总局关于中国清洁发展机制基金及清洁发展机制项目实施企业有关企业所得税政策问题的通知》（财税〔2009〕30号）等相关税收政策规定，中国清洁发展机制基金取得的CDM项目温室气体减排量转让收入上缴国家的部分，国际金融组织赠款收入，基金资金的存款利息收入，购买国债的利息收入，国内外机构、组织和个人的捐赠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84"/>
        <w:jc w:val="right"/>
        <w:textAlignment w:val="auto"/>
        <w:rPr>
          <w:sz w:val="24"/>
          <w:szCs w:val="24"/>
        </w:rPr>
      </w:pPr>
      <w:r>
        <w:rPr>
          <w:sz w:val="24"/>
          <w:szCs w:val="24"/>
        </w:rPr>
        <w:t>11.第11行“（五）投资者从证券投资基金分配中取得的收入免征企业所得税”：</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填报根据《财政部 国家税务总局关于企业所得税若干优惠政策的通知》（财税〔2008〕</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1号）第二条第（二）项等相关税收政策规定，投资者从证券投资基金分配中取得的收入。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12.第12行“（六）取得的地方政府债券利息收入免征企业所得税”：填报纳税人根据《财政部 国家税务总局关于地方政府债券利息所得免征所得税问题的通知》（财税〔2011〕76号）、《财政部 国家税务总局关于地方政府债券利息免征所得税问题的通知》（财税〔2013〕5号）等相关税收政策规定，取得的2009年、2010年和2011年发行的地方政府债券利息所得，2012年及以后年度发行的地方政府债券利息收入。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13.第13行“（七）中国保险保障基金有限责任公司取得的保险保障基金等收入免征企业所得税”：填报中国保险保障基金有限责任公司根据《财政部 税务总局关于保险保障基金有关税收政策问题的通知》（财税〔2018〕41号）等相关税收政策规定，按《保险保障基金管理办法》规定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14.第14行“（八）中国奥委会取得北京冬奥组委支付的收入免征企业所得税”：填报根据《财政部 税务总局 海关总署关于北京2022年冬奥会和冬残奥会税收政策的通知》（财税〔2017〕60号）等相关税收政策规定，中国奥委会按中国奥委会、主办城市签订的《联合市场开发计划协议》和中国奥委会、主办城市、国际奥委会签订的《主办城市合同》取得的由北京冬奥组委分期支付的收入、按比例支付的盈余分成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15.第15行“（九）中国残奥委会取得北京冬奥组委分期支付的收入免征企业所得税”：填报根据财税〔2017〕60号等相关税收政策规定，中国残奥委会按照《联合市场开发计划协议》取得的由北京冬奥组委分期支付的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9"/>
        <w:jc w:val="right"/>
        <w:textAlignment w:val="auto"/>
        <w:rPr>
          <w:sz w:val="24"/>
          <w:szCs w:val="24"/>
        </w:rPr>
      </w:pPr>
      <w:r>
        <w:rPr>
          <w:sz w:val="24"/>
          <w:szCs w:val="24"/>
        </w:rPr>
        <w:t>16.第16行“（十）其他”：根据相关行次计算结果填报。本行=第16.1+16.2行。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各行按照以下要求填报：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第16.1行“1.取得的基础研究资金收入免征企业所得税”：非营利性研究开发机构、高等学校填报根据《财政部 税务总局关于企业投入基础研究有关税收优惠政策的公告》（2022年第32号）等相关税收政策规定取得的基础研究资金收入。第16.2行“2.其他”：填报纳税人享受的本表未列明的其他免税收入税收优惠事项名称、减免税代码及免税收入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17.第17行“二、减计收入”：填报第18+19+23+24行金额。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18.第18行“（一）综合利用资源生产产品取得的收入在计算应纳税所得额时减计收入”：填报纳税人综合利用资源生产产品取得的收入总额乘以10%的金额。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right="117" w:firstLine="470"/>
        <w:jc w:val="both"/>
        <w:textAlignment w:val="auto"/>
        <w:rPr>
          <w:sz w:val="24"/>
          <w:szCs w:val="24"/>
        </w:rPr>
      </w:pPr>
      <w:r>
        <w:rPr>
          <w:sz w:val="24"/>
          <w:szCs w:val="24"/>
        </w:rPr>
        <w:t>19.第19行“（二）金融、保险等机构取得的涉农利息、保费减计收入”：填报金融、保险等机构取得的涉农利息、保费收入减计收入的金额，按第20+21+22行金额填报。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20.第20行“1.金融机构取得的涉农贷款利息收入在计算应纳税所得额时减计收入”：填报金融机构取得的农户小额贷款利息收入总额乘以10%的金额。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21.第21行“2.保险机构取得的涉农保费收入在计算应纳税所得额时减计收入”：填报保险公司为种植业、养殖业提供保险业务取得的保费收入总额乘以10%的金额。其中保费收入总额＝原保费收入+分保费收入-分出保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22.第22行“3.小额贷款公司取得的农户小额贷款利息收入在计算应纳税所得额时减计收入”：填报经省级金融管理部门(金融办、局等)批准成立的小额贷款公司取得的农户小额贷款利息收入乘以10%的金额。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23.第23行“（三）取得铁路债券利息收入减半征收企业所得税”：填报纳税人根据《财政部 国家税务总局关于铁路建设债券利息收入企业所得税政策的通知》（财税〔2011〕99号）、《财政部 国家税务总局关于2014 2015年铁路建设债券利息收入企业所得税政策的通知》（财税〔2014〕2号）及《财政部 国家税务总局关于铁路债券利息收入所得税政策问题的通知》(财税〔2016〕30号)、《财政部 税务总局关于铁路债券利息收入所得税政策的公告》（2019年第57号）等相关税收政策规定，持有中国铁路建设铁路债券等企业债券取得的利息收入乘以50%的金额。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9"/>
        <w:jc w:val="right"/>
        <w:textAlignment w:val="auto"/>
        <w:rPr>
          <w:sz w:val="24"/>
          <w:szCs w:val="24"/>
        </w:rPr>
      </w:pPr>
      <w:r>
        <w:rPr>
          <w:sz w:val="24"/>
          <w:szCs w:val="24"/>
        </w:rPr>
        <w:t>24.第24行“（四）其他”：根据相关行次计算结果填报。本行=第24.1+24.2行。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firstLine="480" w:firstLineChars="200"/>
        <w:textAlignment w:val="auto"/>
        <w:rPr>
          <w:sz w:val="24"/>
          <w:szCs w:val="24"/>
        </w:rPr>
      </w:pPr>
      <w:r>
        <w:rPr>
          <w:sz w:val="24"/>
          <w:szCs w:val="24"/>
        </w:rPr>
        <w:t>第24.1行和第24.2行按照以下要求填报：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132"/>
        <w:jc w:val="left"/>
        <w:textAlignment w:val="auto"/>
        <w:rPr>
          <w:sz w:val="24"/>
          <w:szCs w:val="24"/>
        </w:rPr>
      </w:pPr>
      <w:r>
        <w:rPr>
          <w:rFonts w:hint="eastAsia"/>
          <w:sz w:val="24"/>
          <w:szCs w:val="24"/>
          <w:lang w:val="en-US" w:eastAsia="zh-CN"/>
        </w:rPr>
        <w:t xml:space="preserve">    </w:t>
      </w:r>
      <w:bookmarkStart w:id="9" w:name="_GoBack"/>
      <w:bookmarkEnd w:id="9"/>
      <w:r>
        <w:rPr>
          <w:sz w:val="24"/>
          <w:szCs w:val="24"/>
        </w:rPr>
        <w:t>第24.1行“1.取得的社区家庭服务收入在计算应纳税所得额时减计收入”：填报纳税人根据《财政部 税务总局 发展改革委 民政部 商务部 卫生健康委关于养老、托育、家政等社区家庭服务业税费优惠政策的公告》（2019年第76号）等相关税收政策规定，社区养老、托育、家政相关服务的收入乘以10%的金额。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第24.2行“2.其他”：填报纳税人享受的本表未列明的其他减计收入的税收优惠事项名称、减免税代码及减计收入金额。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25.第25行“三、加计扣除”：填报第26+27+28+29+30行的合计金额。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9"/>
        <w:jc w:val="right"/>
        <w:textAlignment w:val="auto"/>
        <w:rPr>
          <w:sz w:val="24"/>
          <w:szCs w:val="24"/>
        </w:rPr>
      </w:pPr>
      <w:r>
        <w:rPr>
          <w:sz w:val="24"/>
          <w:szCs w:val="24"/>
        </w:rPr>
        <w:t>26.第26行“（一）开发新技术、新产品、新工艺发生的研究开发费用加计扣除”：</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当表A000000“210-3”项目未填有入库编号时，填报表A107012第51行金额。本行与第27行不可同时填报。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27.第27行“（二）科技型中小企业开发新技术、新产品、新工艺发生的研究开发费用加计扣除”：当表A000000“210-3”项目填有入库编号时，填报表A107012第51 行金额。本行与第26行不可同时填报。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28.第28行“（三）企业为获得创新性、创意性、突破性的产品进行创意设计活动而发生的相关费用加计扣除”：填报纳税人根据《财政部 国家税务总局 科技部关于完善研究开发费用税前加计扣除政策的通知》（财税〔2015〕119号）第二条第四款规定，为获得创新性、创意性、突破性的产品进行创意设计活动而发生的相关费用按照规定进行税前加计扣除的金额。纳税人填报本行时，根据有关政策规定填报加计扣除比例及计算方法。纳税人根据实际情况从《创意设计活动加计扣除比例及计算方法代码表》选择相应代码填入本项。“加计扣除比例及计算方法”选择“121”或“122”的，第28行填报第28.1行和第28.2行的合计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96" w:right="418"/>
        <w:jc w:val="center"/>
        <w:textAlignment w:val="auto"/>
        <w:rPr>
          <w:sz w:val="24"/>
          <w:szCs w:val="24"/>
        </w:rPr>
      </w:pPr>
      <w:r>
        <w:rPr>
          <w:sz w:val="24"/>
          <w:szCs w:val="24"/>
        </w:rPr>
        <w:t>创意设计活动加计扣除比例及计算方法代码表</w:t>
      </w:r>
    </w:p>
    <w:tbl>
      <w:tblPr>
        <w:tblStyle w:val="96"/>
        <w:tblW w:w="7744" w:type="dxa"/>
        <w:tblInd w:w="664" w:type="dxa"/>
        <w:tblLayout w:type="autofit"/>
        <w:tblCellMar>
          <w:top w:w="60" w:type="dxa"/>
          <w:left w:w="146" w:type="dxa"/>
          <w:bottom w:w="0" w:type="dxa"/>
          <w:right w:w="145" w:type="dxa"/>
        </w:tblCellMar>
      </w:tblPr>
      <w:tblGrid>
        <w:gridCol w:w="1506"/>
        <w:gridCol w:w="3152"/>
        <w:gridCol w:w="3086"/>
      </w:tblGrid>
      <w:tr>
        <w:tblPrEx>
          <w:tblCellMar>
            <w:top w:w="60" w:type="dxa"/>
            <w:left w:w="146" w:type="dxa"/>
            <w:bottom w:w="0" w:type="dxa"/>
            <w:right w:w="145" w:type="dxa"/>
          </w:tblCellMar>
        </w:tblPrEx>
        <w:trPr>
          <w:trHeight w:val="342" w:hRule="atLeast"/>
        </w:trPr>
        <w:tc>
          <w:tcPr>
            <w:tcW w:w="150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代码</w:t>
            </w:r>
          </w:p>
        </w:tc>
        <w:tc>
          <w:tcPr>
            <w:tcW w:w="623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 w:firstLine="0"/>
              <w:jc w:val="center"/>
              <w:textAlignment w:val="auto"/>
              <w:rPr>
                <w:sz w:val="24"/>
                <w:szCs w:val="24"/>
              </w:rPr>
            </w:pPr>
            <w:r>
              <w:rPr>
                <w:sz w:val="24"/>
                <w:szCs w:val="24"/>
              </w:rPr>
              <w:t>类型</w:t>
            </w:r>
          </w:p>
        </w:tc>
      </w:tr>
      <w:tr>
        <w:tblPrEx>
          <w:tblCellMar>
            <w:top w:w="60" w:type="dxa"/>
            <w:left w:w="146" w:type="dxa"/>
            <w:bottom w:w="0" w:type="dxa"/>
            <w:right w:w="145" w:type="dxa"/>
          </w:tblCellMar>
        </w:tblPrEx>
        <w:trPr>
          <w:trHeight w:val="342" w:hRule="atLeast"/>
        </w:trPr>
        <w:tc>
          <w:tcPr>
            <w:tcW w:w="150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110</w:t>
            </w:r>
          </w:p>
        </w:tc>
        <w:tc>
          <w:tcPr>
            <w:tcW w:w="623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right="2" w:firstLine="0"/>
              <w:jc w:val="center"/>
              <w:textAlignment w:val="auto"/>
              <w:rPr>
                <w:sz w:val="24"/>
                <w:szCs w:val="24"/>
              </w:rPr>
            </w:pPr>
            <w:r>
              <w:rPr>
                <w:sz w:val="24"/>
                <w:szCs w:val="24"/>
              </w:rPr>
              <w:t>全年100%（制造业企业、科技型中小企业）</w:t>
            </w:r>
          </w:p>
        </w:tc>
      </w:tr>
      <w:tr>
        <w:tblPrEx>
          <w:tblCellMar>
            <w:top w:w="60" w:type="dxa"/>
            <w:left w:w="146" w:type="dxa"/>
            <w:bottom w:w="0" w:type="dxa"/>
            <w:right w:w="145" w:type="dxa"/>
          </w:tblCellMar>
        </w:tblPrEx>
        <w:trPr>
          <w:trHeight w:val="342" w:hRule="atLeast"/>
        </w:trPr>
        <w:tc>
          <w:tcPr>
            <w:tcW w:w="150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121</w:t>
            </w:r>
          </w:p>
        </w:tc>
        <w:tc>
          <w:tcPr>
            <w:tcW w:w="3152" w:type="dxa"/>
            <w:vMerge w:val="restar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both"/>
              <w:textAlignment w:val="auto"/>
              <w:rPr>
                <w:sz w:val="24"/>
                <w:szCs w:val="24"/>
              </w:rPr>
            </w:pPr>
            <w:r>
              <w:rPr>
                <w:sz w:val="24"/>
                <w:szCs w:val="24"/>
              </w:rPr>
              <w:t>前三季度75%且第四季度100%</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center"/>
              <w:textAlignment w:val="auto"/>
              <w:rPr>
                <w:sz w:val="24"/>
                <w:szCs w:val="24"/>
              </w:rPr>
            </w:pPr>
            <w:r>
              <w:rPr>
                <w:sz w:val="24"/>
                <w:szCs w:val="24"/>
              </w:rPr>
              <w:t>（其他企业）</w:t>
            </w:r>
          </w:p>
        </w:tc>
        <w:tc>
          <w:tcPr>
            <w:tcW w:w="308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center"/>
              <w:textAlignment w:val="auto"/>
              <w:rPr>
                <w:sz w:val="24"/>
                <w:szCs w:val="24"/>
              </w:rPr>
            </w:pPr>
            <w:r>
              <w:rPr>
                <w:sz w:val="24"/>
                <w:szCs w:val="24"/>
              </w:rPr>
              <w:t>按比例计算</w:t>
            </w:r>
          </w:p>
        </w:tc>
      </w:tr>
      <w:tr>
        <w:tblPrEx>
          <w:tblCellMar>
            <w:top w:w="60" w:type="dxa"/>
            <w:left w:w="146" w:type="dxa"/>
            <w:bottom w:w="0" w:type="dxa"/>
            <w:right w:w="145" w:type="dxa"/>
          </w:tblCellMar>
        </w:tblPrEx>
        <w:trPr>
          <w:trHeight w:val="409" w:hRule="atLeast"/>
        </w:trPr>
        <w:tc>
          <w:tcPr>
            <w:tcW w:w="150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122</w:t>
            </w:r>
          </w:p>
        </w:tc>
        <w:tc>
          <w:tcPr>
            <w:tcW w:w="0" w:type="auto"/>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textAlignment w:val="auto"/>
              <w:rPr>
                <w:sz w:val="24"/>
                <w:szCs w:val="24"/>
              </w:rPr>
            </w:pPr>
          </w:p>
        </w:tc>
        <w:tc>
          <w:tcPr>
            <w:tcW w:w="308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center"/>
              <w:textAlignment w:val="auto"/>
              <w:rPr>
                <w:sz w:val="24"/>
                <w:szCs w:val="24"/>
              </w:rPr>
            </w:pPr>
            <w:r>
              <w:rPr>
                <w:sz w:val="24"/>
                <w:szCs w:val="24"/>
              </w:rPr>
              <w:t>按实际发生金额计算</w:t>
            </w:r>
          </w:p>
        </w:tc>
      </w:tr>
    </w:tbl>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28.1行“其中：第四季度相关费用加计扣除”：当“创意设计活动加计扣除比例及分配方法”选择“121”或“122”的，填报根据选定的第四季度相关费用计算方法计算的第四季度进行税前加计扣除的金额。当“研发费用加计扣除比例及计算方法”选择“110”时，本行无需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28.2行“前三季度相关费用加计扣除”：当纳税人“创意设计活动加计扣除比例及分配方法”选择“121”或“122”的，填报根据选定的第四季度相关费用计算方法计算的前三季度进行税前加计扣除的金额。当“研发费用加计扣除比例及计算方法”选择“110”时，本行无需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29.第29行“（四）安置残疾人员所支付的工资加计扣除”：填报纳税人根据《财政部 国家税务总局关于安置残疾人员就业有关企业所得税优惠政策问题的通知》（财税〔2009〕70号）等相关税收政策规定安置残疾人员的，按照支付给残疾职工工资的</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100%加计扣除的金额。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30.第30行“（五）其他”：根据相关行次计算结果填报。本行=第30.1+30.2+30.3 行。各行按照以下要求填报：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第30.1行“1.企业投入基础研究支出加计扣除”：填报纳税人根据《财政部 税务总局关于企业投入基础研究有关税收优惠政策的公告》（2022年第32号）等相关税收政策规定，出资给非营利性科学技术研究开发机构、高等学校和政府性自然科学基金用于基础研究的支出按照100%加计扣除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第30.2行“2.高新技术企业设备器具加计扣除”：填报高新技术企业根据《财政部 税务总局 科技部关于加大支持科技创新税前扣除力度的公告》（2022年第28号）等相关税收政策规定，2022年10月1日至2022年12月31日期间新购置的设备器具加计扣除的金额。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第30.3行“3.其他”：填报纳税人享受的本表未列明的其他加计扣除的税收优惠事项名称、减免税代码及加计扣除的金额。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31.第31行“合计”：填报第1+17+25行金额。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二、表内、表间关系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（一）表内关系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1.第1行＝第2+3+9+10+…+16行。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2.第3行＝第4+5+6+7+8行。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3.第16行＝第16.1+16.2行。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4.第17行＝第18+19+23+24行。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5.第19行＝第20+21+22行。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6.第24行＝第24.1+24.2行。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7.第25行＝第26+27+28+29+30行。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8.第26行和第27行不可同时填报。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9.第28行＝第28.1+28.2行。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10.第30行＝第30.1+30.2+30.3行。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11.第31行＝第1+17+25行。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（二）表间关系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1.第3行＝表A107011第8行（合计行）第17列。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2.第4行＝表A107011第9行第17列。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3.第5行＝表A107011第10行第17列。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4.第6行＝表A107011第11行第17列。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5.第7行＝表A107011第12行第17列。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6.第8行＝表A107011第13行第17列。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7.当表A000000“210-3”项目未填有入库编号时，第26行＝表A107012第51行。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8.当表A000000“210-3”项目填有入库编号时，第27行＝表A107012第51行。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9.第31行＝表A100000第17行。</w:t>
      </w:r>
    </w:p>
    <w:p>
      <w:pPr>
        <w:pStyle w:val="92"/>
        <w:keepNext w:val="0"/>
        <w:keepLines w:val="0"/>
        <w:pageBreakBefore w:val="0"/>
        <w:widowControl w:val="0"/>
        <w:kinsoku/>
        <w:wordWrap/>
        <w:overflowPunct/>
        <w:topLinePunct w:val="0"/>
        <w:autoSpaceDE/>
        <w:autoSpaceDN/>
        <w:bidi w:val="0"/>
        <w:adjustRightInd/>
        <w:snapToGrid/>
        <w:spacing w:before="157" w:beforeLines="50" w:after="120" w:line="360" w:lineRule="auto"/>
        <w:ind w:firstLine="480"/>
        <w:textAlignment w:val="auto"/>
        <w:rPr>
          <w:sz w:val="24"/>
          <w:szCs w:val="24"/>
        </w:rPr>
      </w:pPr>
    </w:p>
    <w:p>
      <w:pPr>
        <w:pStyle w:val="92"/>
        <w:keepNext w:val="0"/>
        <w:keepLines w:val="0"/>
        <w:pageBreakBefore w:val="0"/>
        <w:widowControl w:val="0"/>
        <w:kinsoku/>
        <w:wordWrap/>
        <w:overflowPunct/>
        <w:topLinePunct w:val="0"/>
        <w:autoSpaceDE/>
        <w:autoSpaceDN/>
        <w:bidi w:val="0"/>
        <w:adjustRightInd/>
        <w:snapToGrid/>
        <w:spacing w:before="157" w:beforeLines="50" w:after="120" w:line="360" w:lineRule="auto"/>
        <w:ind w:firstLine="480"/>
        <w:textAlignment w:val="auto"/>
        <w:rPr>
          <w:sz w:val="24"/>
          <w:szCs w:val="24"/>
        </w:rPr>
      </w:pPr>
    </w:p>
    <w:p>
      <w:pPr>
        <w:pStyle w:val="92"/>
        <w:keepNext w:val="0"/>
        <w:keepLines w:val="0"/>
        <w:pageBreakBefore w:val="0"/>
        <w:widowControl w:val="0"/>
        <w:kinsoku/>
        <w:wordWrap/>
        <w:overflowPunct/>
        <w:topLinePunct w:val="0"/>
        <w:autoSpaceDE/>
        <w:autoSpaceDN/>
        <w:bidi w:val="0"/>
        <w:adjustRightInd/>
        <w:snapToGrid/>
        <w:spacing w:before="157" w:beforeLines="50" w:after="120" w:line="360" w:lineRule="auto"/>
        <w:ind w:firstLine="480"/>
        <w:textAlignment w:val="auto"/>
        <w:rPr>
          <w:sz w:val="24"/>
          <w:szCs w:val="24"/>
        </w:rPr>
      </w:pPr>
    </w:p>
    <w:p>
      <w:pPr>
        <w:pStyle w:val="92"/>
        <w:keepNext w:val="0"/>
        <w:keepLines w:val="0"/>
        <w:pageBreakBefore w:val="0"/>
        <w:widowControl w:val="0"/>
        <w:kinsoku/>
        <w:wordWrap/>
        <w:overflowPunct/>
        <w:topLinePunct w:val="0"/>
        <w:autoSpaceDE/>
        <w:autoSpaceDN/>
        <w:bidi w:val="0"/>
        <w:adjustRightInd/>
        <w:snapToGrid/>
        <w:spacing w:before="157" w:beforeLines="50" w:after="120" w:line="360" w:lineRule="auto"/>
        <w:ind w:firstLine="480"/>
        <w:textAlignment w:val="auto"/>
        <w:rPr>
          <w:sz w:val="24"/>
          <w:szCs w:val="24"/>
        </w:rPr>
      </w:pPr>
    </w:p>
    <w:sectPr>
      <w:headerReference r:id="rId4" w:type="even"/>
      <w:pgSz w:w="11906" w:h="16838"/>
      <w:pgMar w:top="1985" w:right="1418" w:bottom="1928" w:left="1418" w:header="851" w:footer="992" w:gutter="113"/>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ESI宋体-GB2312">
    <w:altName w:val="宋体"/>
    <w:panose1 w:val="00000000000000000000"/>
    <w:charset w:val="86"/>
    <w:family w:val="auto"/>
    <w:pitch w:val="default"/>
    <w:sig w:usb0="00000000" w:usb1="00000000" w:usb2="00000010" w:usb3="00000000" w:csb0="0004000F" w:csb1="00000000"/>
  </w:font>
  <w:font w:name="CESI黑体-GB2312">
    <w:altName w:val="黑体"/>
    <w:panose1 w:val="00000000000000000000"/>
    <w:charset w:val="86"/>
    <w:family w:val="auto"/>
    <w:pitch w:val="default"/>
    <w:sig w:usb0="00000000" w:usb1="00000000" w:usb2="00000012"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33</w:t>
    </w:r>
    <w:r>
      <w:rPr>
        <w:rStyle w:val="28"/>
      </w:rPr>
      <w:fldChar w:fldCharType="end"/>
    </w:r>
  </w:p>
  <w:p>
    <w:pPr>
      <w:pStyle w:val="14"/>
      <w:jc w:val="center"/>
      <w:rPr>
        <w:rFonts w:ascii="Arial" w:hAnsi="Arial" w:eastAsia="等线 Light" w:cs="Arial"/>
        <w:sz w:val="21"/>
        <w:szCs w:val="21"/>
        <w:lang w:val="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cs="Times New Roman"/>
        <w:b w:val="0"/>
        <w:i w:val="0"/>
        <w:sz w:val="24"/>
      </w:rPr>
    </w:lvl>
    <w:lvl w:ilvl="1" w:tentative="0">
      <w:start w:val="1"/>
      <w:numFmt w:val="decimal"/>
      <w:pStyle w:val="57"/>
      <w:suff w:val="nothing"/>
      <w:lvlText w:val="%2."/>
      <w:lvlJc w:val="left"/>
      <w:pPr>
        <w:ind w:left="840" w:hanging="420"/>
      </w:pPr>
      <w:rPr>
        <w:rFonts w:hint="default" w:ascii="宋体" w:hAnsi="宋体" w:eastAsia="宋体" w:cs="Times New Roman"/>
        <w:b w:val="0"/>
        <w:i w:val="0"/>
        <w:caps w:val="0"/>
        <w:strike w:val="0"/>
        <w:dstrike w:val="0"/>
        <w:vanish w:val="0"/>
        <w:color w:val="000000"/>
        <w:sz w:val="24"/>
        <w:vertAlign w:val="baseline"/>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jhlM2U4Mjk2Y2FhOWI4NzU2ODU0MDU0NTZiNGQifQ=="/>
  </w:docVars>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54293"/>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44EFA"/>
    <w:rsid w:val="00A830BB"/>
    <w:rsid w:val="00AD39BC"/>
    <w:rsid w:val="00AE2746"/>
    <w:rsid w:val="00B036EE"/>
    <w:rsid w:val="00B12251"/>
    <w:rsid w:val="00B6763B"/>
    <w:rsid w:val="00BA72C5"/>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C4D8E"/>
    <w:rsid w:val="00ED3388"/>
    <w:rsid w:val="00F20FD0"/>
    <w:rsid w:val="00F26ED1"/>
    <w:rsid w:val="00F279E4"/>
    <w:rsid w:val="00F7322A"/>
    <w:rsid w:val="00F938FB"/>
    <w:rsid w:val="00FD213A"/>
    <w:rsid w:val="00FE3031"/>
    <w:rsid w:val="01DB769E"/>
    <w:rsid w:val="07993540"/>
    <w:rsid w:val="0D8701EA"/>
    <w:rsid w:val="11E048F7"/>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6" w:lineRule="auto"/>
      <w:outlineLvl w:val="0"/>
    </w:pPr>
    <w:rPr>
      <w:b/>
      <w:kern w:val="44"/>
      <w:sz w:val="20"/>
      <w:szCs w:val="20"/>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ascii="Calibri" w:hAnsi="Calibri"/>
      <w:sz w:val="18"/>
      <w:szCs w:val="18"/>
    </w:rPr>
  </w:style>
  <w:style w:type="paragraph" w:styleId="6">
    <w:name w:val="Document Map"/>
    <w:basedOn w:val="1"/>
    <w:link w:val="35"/>
    <w:semiHidden/>
    <w:qFormat/>
    <w:uiPriority w:val="99"/>
    <w:pPr>
      <w:shd w:val="clear" w:color="auto" w:fill="000080"/>
    </w:pPr>
  </w:style>
  <w:style w:type="paragraph" w:styleId="7">
    <w:name w:val="annotation text"/>
    <w:basedOn w:val="1"/>
    <w:link w:val="36"/>
    <w:semiHidden/>
    <w:uiPriority w:val="99"/>
    <w:pPr>
      <w:jc w:val="left"/>
    </w:pPr>
    <w:rPr>
      <w:sz w:val="24"/>
    </w:rPr>
  </w:style>
  <w:style w:type="paragraph" w:styleId="8">
    <w:name w:val="toc 5"/>
    <w:basedOn w:val="1"/>
    <w:next w:val="1"/>
    <w:uiPriority w:val="99"/>
    <w:pPr>
      <w:ind w:left="840"/>
      <w:jc w:val="left"/>
    </w:pPr>
    <w:rPr>
      <w:rFonts w:ascii="Calibri" w:hAnsi="Calibri"/>
      <w:sz w:val="18"/>
      <w:szCs w:val="18"/>
    </w:rPr>
  </w:style>
  <w:style w:type="paragraph" w:styleId="9">
    <w:name w:val="toc 3"/>
    <w:basedOn w:val="1"/>
    <w:next w:val="1"/>
    <w:qFormat/>
    <w:uiPriority w:val="99"/>
    <w:pPr>
      <w:ind w:left="420"/>
      <w:jc w:val="left"/>
    </w:pPr>
    <w:rPr>
      <w:rFonts w:ascii="Calibri" w:hAnsi="Calibri"/>
      <w:i/>
      <w:iCs/>
      <w:sz w:val="20"/>
      <w:szCs w:val="20"/>
    </w:rPr>
  </w:style>
  <w:style w:type="paragraph" w:styleId="10">
    <w:name w:val="Plain Text"/>
    <w:basedOn w:val="1"/>
    <w:link w:val="37"/>
    <w:qFormat/>
    <w:uiPriority w:val="99"/>
    <w:rPr>
      <w:rFonts w:ascii="宋体" w:hAnsi="Courier New" w:cs="Courier New"/>
      <w:szCs w:val="21"/>
    </w:rPr>
  </w:style>
  <w:style w:type="paragraph" w:styleId="11">
    <w:name w:val="toc 8"/>
    <w:basedOn w:val="1"/>
    <w:next w:val="1"/>
    <w:qFormat/>
    <w:uiPriority w:val="99"/>
    <w:pPr>
      <w:ind w:left="1470"/>
      <w:jc w:val="left"/>
    </w:pPr>
    <w:rPr>
      <w:rFonts w:ascii="Calibri" w:hAnsi="Calibri"/>
      <w:sz w:val="18"/>
      <w:szCs w:val="18"/>
    </w:rPr>
  </w:style>
  <w:style w:type="paragraph" w:styleId="12">
    <w:name w:val="Date"/>
    <w:basedOn w:val="1"/>
    <w:next w:val="1"/>
    <w:link w:val="38"/>
    <w:qFormat/>
    <w:uiPriority w:val="99"/>
    <w:pPr>
      <w:ind w:left="100" w:leftChars="2500"/>
    </w:pPr>
  </w:style>
  <w:style w:type="paragraph" w:styleId="13">
    <w:name w:val="Balloon Text"/>
    <w:basedOn w:val="1"/>
    <w:link w:val="39"/>
    <w:semiHidden/>
    <w:qFormat/>
    <w:uiPriority w:val="99"/>
    <w:rPr>
      <w:rFonts w:ascii="Heiti SC Light" w:eastAsia="Times New Roman"/>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rFonts w:ascii="Calibri" w:hAnsi="Calibri"/>
      <w:b/>
      <w:bCs/>
      <w:caps/>
      <w:sz w:val="20"/>
      <w:szCs w:val="20"/>
    </w:rPr>
  </w:style>
  <w:style w:type="paragraph" w:styleId="17">
    <w:name w:val="toc 4"/>
    <w:basedOn w:val="1"/>
    <w:next w:val="1"/>
    <w:uiPriority w:val="99"/>
    <w:pPr>
      <w:ind w:left="630"/>
      <w:jc w:val="left"/>
    </w:pPr>
    <w:rPr>
      <w:rFonts w:ascii="Calibri" w:hAnsi="Calibri"/>
      <w:sz w:val="18"/>
      <w:szCs w:val="18"/>
    </w:rPr>
  </w:style>
  <w:style w:type="paragraph" w:styleId="18">
    <w:name w:val="toc 6"/>
    <w:basedOn w:val="1"/>
    <w:next w:val="1"/>
    <w:qFormat/>
    <w:uiPriority w:val="99"/>
    <w:pPr>
      <w:ind w:left="1050"/>
      <w:jc w:val="left"/>
    </w:pPr>
    <w:rPr>
      <w:rFonts w:ascii="Calibri" w:hAnsi="Calibri"/>
      <w:sz w:val="18"/>
      <w:szCs w:val="18"/>
    </w:rPr>
  </w:style>
  <w:style w:type="paragraph" w:styleId="19">
    <w:name w:val="toc 2"/>
    <w:basedOn w:val="1"/>
    <w:next w:val="1"/>
    <w:qFormat/>
    <w:uiPriority w:val="99"/>
    <w:pPr>
      <w:ind w:left="210"/>
      <w:jc w:val="left"/>
    </w:pPr>
    <w:rPr>
      <w:rFonts w:ascii="Calibri" w:hAnsi="Calibri"/>
      <w:smallCaps/>
      <w:sz w:val="20"/>
      <w:szCs w:val="20"/>
    </w:rPr>
  </w:style>
  <w:style w:type="paragraph" w:styleId="20">
    <w:name w:val="toc 9"/>
    <w:basedOn w:val="1"/>
    <w:next w:val="1"/>
    <w:qFormat/>
    <w:uiPriority w:val="99"/>
    <w:pPr>
      <w:ind w:left="1680"/>
      <w:jc w:val="left"/>
    </w:pPr>
    <w:rPr>
      <w:rFonts w:ascii="Calibri" w:hAnsi="Calibri"/>
      <w:sz w:val="18"/>
      <w:szCs w:val="18"/>
    </w:rPr>
  </w:style>
  <w:style w:type="paragraph" w:styleId="21">
    <w:name w:val="Body Text 2"/>
    <w:basedOn w:val="1"/>
    <w:link w:val="42"/>
    <w:qFormat/>
    <w:uiPriority w:val="99"/>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43"/>
    <w:semiHidden/>
    <w:qFormat/>
    <w:uiPriority w:val="99"/>
    <w:rPr>
      <w:b/>
      <w:bCs/>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Emphasis"/>
    <w:basedOn w:val="26"/>
    <w:qFormat/>
    <w:uiPriority w:val="99"/>
    <w:rPr>
      <w:rFonts w:cs="Times New Roman"/>
      <w:i/>
    </w:rPr>
  </w:style>
  <w:style w:type="character" w:styleId="30">
    <w:name w:val="Hyperlink"/>
    <w:basedOn w:val="26"/>
    <w:qFormat/>
    <w:uiPriority w:val="99"/>
    <w:rPr>
      <w:rFonts w:cs="Times New Roman"/>
      <w:color w:val="0000FF"/>
      <w:u w:val="single"/>
    </w:rPr>
  </w:style>
  <w:style w:type="character" w:styleId="31">
    <w:name w:val="annotation reference"/>
    <w:basedOn w:val="26"/>
    <w:semiHidden/>
    <w:qFormat/>
    <w:uiPriority w:val="99"/>
    <w:rPr>
      <w:rFonts w:cs="Times New Roman"/>
      <w:sz w:val="21"/>
    </w:rPr>
  </w:style>
  <w:style w:type="character" w:customStyle="1" w:styleId="32">
    <w:name w:val="Heading 1 Char"/>
    <w:basedOn w:val="26"/>
    <w:qFormat/>
    <w:locked/>
    <w:uiPriority w:val="99"/>
    <w:rPr>
      <w:rFonts w:eastAsia="宋体" w:cs="Times New Roman"/>
      <w:b/>
      <w:kern w:val="44"/>
      <w:sz w:val="44"/>
      <w:lang w:val="en-US" w:eastAsia="zh-CN"/>
    </w:rPr>
  </w:style>
  <w:style w:type="character" w:customStyle="1" w:styleId="33">
    <w:name w:val="标题 2 Char"/>
    <w:basedOn w:val="26"/>
    <w:link w:val="3"/>
    <w:qFormat/>
    <w:locked/>
    <w:uiPriority w:val="99"/>
    <w:rPr>
      <w:rFonts w:ascii="Arial" w:hAnsi="Arial" w:eastAsia="黑体" w:cs="Times New Roman"/>
      <w:b/>
      <w:bCs/>
      <w:sz w:val="32"/>
      <w:szCs w:val="32"/>
    </w:rPr>
  </w:style>
  <w:style w:type="character" w:customStyle="1" w:styleId="34">
    <w:name w:val="标题 3 Char"/>
    <w:basedOn w:val="26"/>
    <w:link w:val="4"/>
    <w:qFormat/>
    <w:locked/>
    <w:uiPriority w:val="99"/>
    <w:rPr>
      <w:rFonts w:ascii="Times New Roman" w:hAnsi="Times New Roman" w:eastAsia="宋体" w:cs="Times New Roman"/>
      <w:b/>
      <w:bCs/>
      <w:sz w:val="32"/>
      <w:szCs w:val="32"/>
    </w:rPr>
  </w:style>
  <w:style w:type="character" w:customStyle="1" w:styleId="35">
    <w:name w:val="文档结构图 Char"/>
    <w:basedOn w:val="26"/>
    <w:link w:val="6"/>
    <w:semiHidden/>
    <w:locked/>
    <w:uiPriority w:val="99"/>
    <w:rPr>
      <w:rFonts w:ascii="Times New Roman" w:hAnsi="Times New Roman" w:eastAsia="宋体" w:cs="Times New Roman"/>
      <w:sz w:val="24"/>
      <w:szCs w:val="24"/>
      <w:shd w:val="clear" w:color="auto" w:fill="000080"/>
    </w:rPr>
  </w:style>
  <w:style w:type="character" w:customStyle="1" w:styleId="36">
    <w:name w:val="批注文字 Char"/>
    <w:basedOn w:val="26"/>
    <w:link w:val="7"/>
    <w:qFormat/>
    <w:locked/>
    <w:uiPriority w:val="99"/>
    <w:rPr>
      <w:rFonts w:ascii="Times New Roman" w:hAnsi="Times New Roman" w:eastAsia="宋体" w:cs="Times New Roman"/>
      <w:sz w:val="24"/>
      <w:szCs w:val="24"/>
    </w:rPr>
  </w:style>
  <w:style w:type="character" w:customStyle="1" w:styleId="37">
    <w:name w:val="纯文本 Char"/>
    <w:basedOn w:val="26"/>
    <w:link w:val="10"/>
    <w:locked/>
    <w:uiPriority w:val="99"/>
    <w:rPr>
      <w:rFonts w:ascii="宋体" w:hAnsi="Courier New" w:eastAsia="宋体" w:cs="Courier New"/>
      <w:sz w:val="21"/>
      <w:szCs w:val="21"/>
    </w:rPr>
  </w:style>
  <w:style w:type="character" w:customStyle="1" w:styleId="38">
    <w:name w:val="日期 Char"/>
    <w:basedOn w:val="26"/>
    <w:link w:val="12"/>
    <w:qFormat/>
    <w:locked/>
    <w:uiPriority w:val="99"/>
    <w:rPr>
      <w:rFonts w:ascii="Times New Roman" w:hAnsi="Times New Roman" w:eastAsia="宋体" w:cs="Times New Roman"/>
      <w:sz w:val="24"/>
      <w:szCs w:val="24"/>
    </w:rPr>
  </w:style>
  <w:style w:type="character" w:customStyle="1" w:styleId="39">
    <w:name w:val="批注框文本 Char"/>
    <w:basedOn w:val="26"/>
    <w:link w:val="13"/>
    <w:qFormat/>
    <w:locked/>
    <w:uiPriority w:val="99"/>
    <w:rPr>
      <w:rFonts w:ascii="Heiti SC Light" w:hAnsi="Times New Roman" w:eastAsia="Times New Roman" w:cs="Times New Roman"/>
      <w:sz w:val="18"/>
      <w:szCs w:val="18"/>
    </w:rPr>
  </w:style>
  <w:style w:type="character" w:customStyle="1" w:styleId="40">
    <w:name w:val="页脚 Char"/>
    <w:basedOn w:val="26"/>
    <w:link w:val="14"/>
    <w:qFormat/>
    <w:locked/>
    <w:uiPriority w:val="99"/>
    <w:rPr>
      <w:rFonts w:cs="Times New Roman"/>
      <w:sz w:val="18"/>
      <w:szCs w:val="18"/>
    </w:rPr>
  </w:style>
  <w:style w:type="character" w:customStyle="1" w:styleId="41">
    <w:name w:val="页眉 Char"/>
    <w:basedOn w:val="26"/>
    <w:link w:val="15"/>
    <w:qFormat/>
    <w:locked/>
    <w:uiPriority w:val="99"/>
    <w:rPr>
      <w:rFonts w:cs="Times New Roman"/>
      <w:sz w:val="18"/>
      <w:szCs w:val="18"/>
    </w:rPr>
  </w:style>
  <w:style w:type="character" w:customStyle="1" w:styleId="42">
    <w:name w:val="正文文本 2 Char"/>
    <w:basedOn w:val="26"/>
    <w:link w:val="21"/>
    <w:qFormat/>
    <w:locked/>
    <w:uiPriority w:val="99"/>
    <w:rPr>
      <w:rFonts w:ascii="宋体" w:hAnsi="宋体" w:eastAsia="宋体" w:cs="宋体"/>
      <w:color w:val="000000"/>
      <w:kern w:val="0"/>
      <w:sz w:val="24"/>
      <w:szCs w:val="24"/>
    </w:rPr>
  </w:style>
  <w:style w:type="character" w:customStyle="1" w:styleId="43">
    <w:name w:val="批注主题 Char"/>
    <w:basedOn w:val="36"/>
    <w:link w:val="23"/>
    <w:semiHidden/>
    <w:qFormat/>
    <w:locked/>
    <w:uiPriority w:val="99"/>
    <w:rPr>
      <w:rFonts w:ascii="Times New Roman" w:hAnsi="Times New Roman" w:eastAsia="宋体" w:cs="Times New Roman"/>
      <w:b/>
      <w:bCs/>
      <w:sz w:val="24"/>
      <w:szCs w:val="24"/>
    </w:rPr>
  </w:style>
  <w:style w:type="character" w:customStyle="1" w:styleId="44">
    <w:name w:val="标题 1 Char"/>
    <w:basedOn w:val="26"/>
    <w:qFormat/>
    <w:locked/>
    <w:uiPriority w:val="99"/>
    <w:rPr>
      <w:rFonts w:ascii="Times New Roman" w:hAnsi="Times New Roman" w:eastAsia="宋体" w:cs="Times New Roman"/>
      <w:b/>
      <w:bCs/>
      <w:kern w:val="44"/>
      <w:sz w:val="44"/>
      <w:szCs w:val="44"/>
    </w:rPr>
  </w:style>
  <w:style w:type="character" w:customStyle="1" w:styleId="45">
    <w:name w:val="标题 1 Char1"/>
    <w:link w:val="2"/>
    <w:qFormat/>
    <w:locked/>
    <w:uiPriority w:val="99"/>
    <w:rPr>
      <w:rFonts w:ascii="Times New Roman" w:hAnsi="Times New Roman" w:eastAsia="宋体"/>
      <w:b/>
      <w:kern w:val="44"/>
      <w:sz w:val="20"/>
    </w:rPr>
  </w:style>
  <w:style w:type="character" w:customStyle="1" w:styleId="46">
    <w:name w:val="页眉 Char1"/>
    <w:qFormat/>
    <w:locked/>
    <w:uiPriority w:val="99"/>
    <w:rPr>
      <w:kern w:val="2"/>
      <w:sz w:val="18"/>
    </w:rPr>
  </w:style>
  <w:style w:type="paragraph" w:customStyle="1" w:styleId="47">
    <w:name w:val="一级标题"/>
    <w:basedOn w:val="1"/>
    <w:qFormat/>
    <w:uiPriority w:val="99"/>
    <w:pPr>
      <w:ind w:firstLine="420" w:firstLineChars="200"/>
      <w:outlineLvl w:val="2"/>
    </w:pPr>
    <w:rPr>
      <w:rFonts w:ascii="Arial" w:hAnsi="Arial" w:cs="Arial"/>
      <w:b/>
    </w:rPr>
  </w:style>
  <w:style w:type="paragraph" w:styleId="48">
    <w:name w:val="List Paragraph"/>
    <w:basedOn w:val="1"/>
    <w:qFormat/>
    <w:uiPriority w:val="99"/>
    <w:pPr>
      <w:ind w:firstLine="420" w:firstLineChars="200"/>
    </w:pPr>
  </w:style>
  <w:style w:type="paragraph" w:customStyle="1" w:styleId="49">
    <w:name w:val="1"/>
    <w:basedOn w:val="1"/>
    <w:qFormat/>
    <w:uiPriority w:val="99"/>
    <w:rPr>
      <w:rFonts w:ascii="Tahoma" w:hAnsi="Tahoma"/>
      <w:sz w:val="24"/>
      <w:szCs w:val="20"/>
    </w:rPr>
  </w:style>
  <w:style w:type="paragraph" w:customStyle="1" w:styleId="50">
    <w:name w:val="需求3级"/>
    <w:basedOn w:val="4"/>
    <w:next w:val="1"/>
    <w:qFormat/>
    <w:uiPriority w:val="99"/>
    <w:pPr>
      <w:spacing w:before="360" w:line="360" w:lineRule="auto"/>
    </w:pPr>
    <w:rPr>
      <w:rFonts w:ascii="方正小标宋简体" w:hAnsi="宋体" w:eastAsia="方正小标宋简体"/>
      <w:b w:val="0"/>
      <w:sz w:val="24"/>
      <w:szCs w:val="24"/>
    </w:rPr>
  </w:style>
  <w:style w:type="paragraph" w:customStyle="1" w:styleId="51">
    <w:name w:val="需求正文"/>
    <w:basedOn w:val="1"/>
    <w:qFormat/>
    <w:uiPriority w:val="99"/>
    <w:pPr>
      <w:spacing w:line="360" w:lineRule="auto"/>
      <w:ind w:firstLine="200" w:firstLineChars="200"/>
    </w:pPr>
    <w:rPr>
      <w:rFonts w:ascii="宋体" w:hAnsi="宋体"/>
      <w:sz w:val="24"/>
    </w:rPr>
  </w:style>
  <w:style w:type="paragraph" w:customStyle="1" w:styleId="52">
    <w:name w:val="List Paragraph1"/>
    <w:basedOn w:val="1"/>
    <w:qFormat/>
    <w:uiPriority w:val="99"/>
    <w:pPr>
      <w:ind w:firstLine="420" w:firstLineChars="200"/>
    </w:pPr>
  </w:style>
  <w:style w:type="character" w:customStyle="1" w:styleId="53">
    <w:name w:val="fck__anchor1"/>
    <w:qFormat/>
    <w:uiPriority w:val="99"/>
    <w:rPr>
      <w:bdr w:val="dotted" w:color="0000FF" w:sz="6" w:space="0"/>
    </w:rPr>
  </w:style>
  <w:style w:type="character" w:customStyle="1" w:styleId="54">
    <w:name w:val="未处理的提及1"/>
    <w:qFormat/>
    <w:uiPriority w:val="99"/>
    <w:rPr>
      <w:color w:val="808080"/>
      <w:shd w:val="clear" w:color="auto" w:fill="E6E6E6"/>
    </w:rPr>
  </w:style>
  <w:style w:type="paragraph" w:customStyle="1" w:styleId="55">
    <w:name w:val="SBBZW"/>
    <w:basedOn w:val="1"/>
    <w:qFormat/>
    <w:uiPriority w:val="0"/>
    <w:pPr>
      <w:spacing w:line="360" w:lineRule="auto"/>
      <w:ind w:firstLine="480" w:firstLineChars="200"/>
    </w:pPr>
    <w:rPr>
      <w:rFonts w:ascii="宋体" w:hAnsi="宋体"/>
      <w:sz w:val="24"/>
    </w:rPr>
  </w:style>
  <w:style w:type="paragraph" w:customStyle="1" w:styleId="56">
    <w:name w:val="SBBL1"/>
    <w:basedOn w:val="2"/>
    <w:qFormat/>
    <w:uiPriority w:val="99"/>
    <w:pPr>
      <w:spacing w:beforeLines="100" w:afterLines="150" w:line="360" w:lineRule="auto"/>
      <w:jc w:val="center"/>
    </w:pPr>
    <w:rPr>
      <w:rFonts w:ascii="方正小标宋简体" w:hAnsi="宋体" w:eastAsia="方正小标宋简体" w:cs="宋体"/>
      <w:b w:val="0"/>
      <w:sz w:val="28"/>
      <w:szCs w:val="28"/>
    </w:rPr>
  </w:style>
  <w:style w:type="paragraph" w:customStyle="1" w:styleId="57">
    <w:name w:val="SBBZEDD"/>
    <w:basedOn w:val="55"/>
    <w:qFormat/>
    <w:uiPriority w:val="99"/>
    <w:pPr>
      <w:numPr>
        <w:ilvl w:val="1"/>
        <w:numId w:val="1"/>
      </w:numPr>
      <w:ind w:firstLine="0" w:firstLineChars="0"/>
    </w:pPr>
  </w:style>
  <w:style w:type="paragraph" w:customStyle="1" w:styleId="58">
    <w:name w:val="SBBL2"/>
    <w:basedOn w:val="1"/>
    <w:qFormat/>
    <w:uiPriority w:val="99"/>
    <w:pPr>
      <w:spacing w:line="360" w:lineRule="auto"/>
      <w:ind w:firstLine="200" w:firstLineChars="200"/>
      <w:jc w:val="left"/>
      <w:outlineLvl w:val="1"/>
    </w:pPr>
    <w:rPr>
      <w:rFonts w:ascii="宋体" w:hAnsi="宋体" w:cs="Calibri"/>
      <w:b/>
      <w:sz w:val="24"/>
    </w:rPr>
  </w:style>
  <w:style w:type="paragraph" w:customStyle="1" w:styleId="59">
    <w:name w:val="SBBL3"/>
    <w:basedOn w:val="1"/>
    <w:qFormat/>
    <w:uiPriority w:val="99"/>
    <w:pPr>
      <w:spacing w:line="360" w:lineRule="auto"/>
      <w:ind w:firstLine="480" w:firstLineChars="200"/>
      <w:outlineLvl w:val="2"/>
    </w:pPr>
    <w:rPr>
      <w:rFonts w:ascii="黑体" w:hAnsi="黑体" w:eastAsia="黑体" w:cs="Calibri"/>
      <w:sz w:val="24"/>
    </w:rPr>
  </w:style>
  <w:style w:type="paragraph" w:customStyle="1" w:styleId="60">
    <w:name w:val="SBBT1"/>
    <w:basedOn w:val="55"/>
    <w:qFormat/>
    <w:uiPriority w:val="0"/>
    <w:pPr>
      <w:tabs>
        <w:tab w:val="center" w:pos="4678"/>
      </w:tabs>
      <w:ind w:firstLine="0" w:firstLineChars="0"/>
      <w:jc w:val="left"/>
      <w:outlineLvl w:val="0"/>
    </w:pPr>
    <w:rPr>
      <w:rFonts w:cs="宋体"/>
      <w:b/>
      <w:bCs/>
      <w:kern w:val="0"/>
      <w:sz w:val="28"/>
      <w:szCs w:val="28"/>
    </w:rPr>
  </w:style>
  <w:style w:type="paragraph" w:customStyle="1" w:styleId="61">
    <w:name w:val="SBBT2"/>
    <w:basedOn w:val="60"/>
    <w:qFormat/>
    <w:uiPriority w:val="0"/>
    <w:pPr>
      <w:tabs>
        <w:tab w:val="center" w:pos="6521"/>
        <w:tab w:val="clear" w:pos="4678"/>
      </w:tabs>
    </w:pPr>
  </w:style>
  <w:style w:type="character" w:customStyle="1" w:styleId="62">
    <w:name w:val="未处理的提及"/>
    <w:semiHidden/>
    <w:qFormat/>
    <w:uiPriority w:val="99"/>
    <w:rPr>
      <w:color w:val="808080"/>
      <w:shd w:val="clear" w:color="auto" w:fill="E6E6E6"/>
    </w:rPr>
  </w:style>
  <w:style w:type="character" w:styleId="63">
    <w:name w:val="Placeholder Text"/>
    <w:basedOn w:val="26"/>
    <w:semiHidden/>
    <w:qFormat/>
    <w:uiPriority w:val="99"/>
    <w:rPr>
      <w:rFonts w:cs="Times New Roman"/>
      <w:color w:val="808080"/>
    </w:rPr>
  </w:style>
  <w:style w:type="paragraph" w:customStyle="1" w:styleId="64">
    <w:name w:val="目录 41"/>
    <w:basedOn w:val="1"/>
    <w:next w:val="1"/>
    <w:qFormat/>
    <w:uiPriority w:val="99"/>
    <w:pPr>
      <w:ind w:left="630"/>
      <w:jc w:val="left"/>
    </w:pPr>
    <w:rPr>
      <w:rFonts w:ascii="Calibri" w:hAnsi="Calibri" w:cs="Calibri"/>
      <w:sz w:val="18"/>
      <w:szCs w:val="18"/>
    </w:rPr>
  </w:style>
  <w:style w:type="paragraph" w:customStyle="1" w:styleId="65">
    <w:name w:val="ZBBZWBg"/>
    <w:basedOn w:val="55"/>
    <w:qFormat/>
    <w:uiPriority w:val="99"/>
    <w:pPr>
      <w:ind w:firstLine="0" w:firstLineChars="0"/>
      <w:jc w:val="center"/>
    </w:pPr>
    <w:rPr>
      <w:rFonts w:cs="宋体"/>
      <w:b/>
      <w:bCs/>
    </w:rPr>
  </w:style>
  <w:style w:type="paragraph" w:customStyle="1" w:styleId="66">
    <w:name w:val="目录 11"/>
    <w:basedOn w:val="1"/>
    <w:next w:val="1"/>
    <w:qFormat/>
    <w:uiPriority w:val="99"/>
    <w:pPr>
      <w:spacing w:before="120" w:after="120"/>
      <w:jc w:val="left"/>
    </w:pPr>
    <w:rPr>
      <w:rFonts w:ascii="Calibri" w:hAnsi="Calibri" w:cs="Calibri"/>
      <w:b/>
      <w:bCs/>
      <w:caps/>
      <w:sz w:val="20"/>
      <w:szCs w:val="20"/>
    </w:rPr>
  </w:style>
  <w:style w:type="paragraph" w:customStyle="1" w:styleId="67">
    <w:name w:val="目录 21"/>
    <w:basedOn w:val="1"/>
    <w:next w:val="1"/>
    <w:qFormat/>
    <w:uiPriority w:val="99"/>
    <w:pPr>
      <w:ind w:left="210"/>
      <w:jc w:val="left"/>
    </w:pPr>
    <w:rPr>
      <w:rFonts w:ascii="Calibri" w:hAnsi="Calibri" w:cs="Calibri"/>
      <w:smallCaps/>
      <w:sz w:val="20"/>
      <w:szCs w:val="20"/>
    </w:rPr>
  </w:style>
  <w:style w:type="paragraph" w:customStyle="1" w:styleId="68">
    <w:name w:val="目录 31"/>
    <w:basedOn w:val="1"/>
    <w:next w:val="1"/>
    <w:qFormat/>
    <w:uiPriority w:val="99"/>
    <w:pPr>
      <w:ind w:left="420"/>
      <w:jc w:val="left"/>
    </w:pPr>
    <w:rPr>
      <w:rFonts w:ascii="Calibri" w:hAnsi="Calibri" w:cs="Calibri"/>
      <w:i/>
      <w:iCs/>
      <w:sz w:val="20"/>
      <w:szCs w:val="20"/>
    </w:rPr>
  </w:style>
  <w:style w:type="paragraph" w:customStyle="1" w:styleId="69">
    <w:name w:val="目录 51"/>
    <w:basedOn w:val="1"/>
    <w:next w:val="1"/>
    <w:qFormat/>
    <w:uiPriority w:val="99"/>
    <w:pPr>
      <w:ind w:left="840"/>
      <w:jc w:val="left"/>
    </w:pPr>
    <w:rPr>
      <w:rFonts w:ascii="Calibri" w:hAnsi="Calibri" w:cs="Calibri"/>
      <w:sz w:val="18"/>
      <w:szCs w:val="18"/>
    </w:rPr>
  </w:style>
  <w:style w:type="paragraph" w:customStyle="1" w:styleId="70">
    <w:name w:val="目录 61"/>
    <w:basedOn w:val="1"/>
    <w:next w:val="1"/>
    <w:qFormat/>
    <w:uiPriority w:val="99"/>
    <w:pPr>
      <w:ind w:left="1050"/>
      <w:jc w:val="left"/>
    </w:pPr>
    <w:rPr>
      <w:rFonts w:ascii="Calibri" w:hAnsi="Calibri" w:cs="Calibri"/>
      <w:sz w:val="18"/>
      <w:szCs w:val="18"/>
    </w:rPr>
  </w:style>
  <w:style w:type="paragraph" w:customStyle="1" w:styleId="71">
    <w:name w:val="目录 71"/>
    <w:basedOn w:val="1"/>
    <w:next w:val="1"/>
    <w:qFormat/>
    <w:uiPriority w:val="99"/>
    <w:pPr>
      <w:ind w:left="1260"/>
      <w:jc w:val="left"/>
    </w:pPr>
    <w:rPr>
      <w:rFonts w:ascii="Calibri" w:hAnsi="Calibri" w:cs="Calibri"/>
      <w:sz w:val="18"/>
      <w:szCs w:val="18"/>
    </w:rPr>
  </w:style>
  <w:style w:type="paragraph" w:customStyle="1" w:styleId="72">
    <w:name w:val="目录 81"/>
    <w:basedOn w:val="1"/>
    <w:next w:val="1"/>
    <w:qFormat/>
    <w:uiPriority w:val="99"/>
    <w:pPr>
      <w:ind w:left="1470"/>
      <w:jc w:val="left"/>
    </w:pPr>
    <w:rPr>
      <w:rFonts w:ascii="Calibri" w:hAnsi="Calibri" w:cs="Calibri"/>
      <w:sz w:val="18"/>
      <w:szCs w:val="18"/>
    </w:rPr>
  </w:style>
  <w:style w:type="paragraph" w:customStyle="1" w:styleId="73">
    <w:name w:val="目录 91"/>
    <w:basedOn w:val="1"/>
    <w:next w:val="1"/>
    <w:qFormat/>
    <w:uiPriority w:val="99"/>
    <w:pPr>
      <w:ind w:left="1680"/>
      <w:jc w:val="left"/>
    </w:pPr>
    <w:rPr>
      <w:rFonts w:ascii="Calibri" w:hAnsi="Calibri" w:cs="Calibri"/>
      <w:sz w:val="18"/>
      <w:szCs w:val="18"/>
    </w:rPr>
  </w:style>
  <w:style w:type="paragraph" w:customStyle="1" w:styleId="74">
    <w:name w:val="列出段落1"/>
    <w:basedOn w:val="1"/>
    <w:qFormat/>
    <w:uiPriority w:val="99"/>
    <w:pPr>
      <w:ind w:firstLine="420" w:firstLineChars="200"/>
    </w:pPr>
    <w:rPr>
      <w:szCs w:val="21"/>
    </w:rPr>
  </w:style>
  <w:style w:type="character" w:customStyle="1" w:styleId="75">
    <w:name w:val="未处理的提及2"/>
    <w:uiPriority w:val="99"/>
    <w:rPr>
      <w:color w:val="808080"/>
      <w:shd w:val="clear" w:color="auto" w:fill="auto"/>
    </w:rPr>
  </w:style>
  <w:style w:type="character" w:customStyle="1" w:styleId="76">
    <w:name w:val="占位符文本1"/>
    <w:semiHidden/>
    <w:qFormat/>
    <w:uiPriority w:val="99"/>
    <w:rPr>
      <w:color w:val="808080"/>
    </w:rPr>
  </w:style>
  <w:style w:type="paragraph" w:customStyle="1" w:styleId="77">
    <w:name w:val="列出段落2"/>
    <w:basedOn w:val="1"/>
    <w:qFormat/>
    <w:uiPriority w:val="99"/>
    <w:pPr>
      <w:ind w:firstLine="420" w:firstLineChars="200"/>
    </w:pPr>
    <w:rPr>
      <w:szCs w:val="21"/>
    </w:rPr>
  </w:style>
  <w:style w:type="paragraph" w:customStyle="1" w:styleId="78">
    <w:name w:val="Char Char Char"/>
    <w:basedOn w:val="1"/>
    <w:qFormat/>
    <w:uiPriority w:val="99"/>
    <w:rPr>
      <w:rFonts w:ascii="Tahoma" w:hAnsi="Tahoma" w:cs="Tahoma"/>
      <w:sz w:val="24"/>
    </w:rPr>
  </w:style>
  <w:style w:type="character" w:customStyle="1" w:styleId="79">
    <w:name w:val="font31"/>
    <w:uiPriority w:val="99"/>
    <w:rPr>
      <w:rFonts w:ascii="宋体" w:hAnsi="宋体" w:eastAsia="宋体"/>
      <w:color w:val="FF0000"/>
      <w:sz w:val="20"/>
      <w:u w:val="none"/>
    </w:rPr>
  </w:style>
  <w:style w:type="character" w:customStyle="1" w:styleId="80">
    <w:name w:val="font51"/>
    <w:qFormat/>
    <w:uiPriority w:val="99"/>
    <w:rPr>
      <w:rFonts w:ascii="宋体" w:hAnsi="宋体" w:eastAsia="宋体"/>
      <w:color w:val="000000"/>
      <w:sz w:val="20"/>
      <w:u w:val="none"/>
    </w:rPr>
  </w:style>
  <w:style w:type="character" w:customStyle="1" w:styleId="81">
    <w:name w:val="font01"/>
    <w:qFormat/>
    <w:uiPriority w:val="99"/>
    <w:rPr>
      <w:rFonts w:ascii="宋体" w:hAnsi="宋体" w:eastAsia="宋体"/>
      <w:color w:val="000000"/>
      <w:sz w:val="20"/>
      <w:u w:val="none"/>
    </w:rPr>
  </w:style>
  <w:style w:type="character" w:customStyle="1" w:styleId="82">
    <w:name w:val="font41"/>
    <w:qFormat/>
    <w:uiPriority w:val="99"/>
    <w:rPr>
      <w:rFonts w:ascii="宋体" w:hAnsi="宋体" w:eastAsia="宋体"/>
      <w:color w:val="000000"/>
      <w:sz w:val="20"/>
      <w:u w:val="none"/>
    </w:rPr>
  </w:style>
  <w:style w:type="character" w:customStyle="1" w:styleId="83">
    <w:name w:val="font11"/>
    <w:qFormat/>
    <w:uiPriority w:val="99"/>
    <w:rPr>
      <w:rFonts w:ascii="宋体" w:hAnsi="宋体" w:eastAsia="宋体"/>
      <w:color w:val="000000"/>
      <w:sz w:val="20"/>
      <w:u w:val="none"/>
    </w:rPr>
  </w:style>
  <w:style w:type="paragraph" w:customStyle="1" w:styleId="84">
    <w:name w:val="列表段落1"/>
    <w:basedOn w:val="1"/>
    <w:uiPriority w:val="99"/>
    <w:pPr>
      <w:ind w:firstLine="420" w:firstLineChars="200"/>
    </w:pPr>
    <w:rPr>
      <w:szCs w:val="21"/>
    </w:rPr>
  </w:style>
  <w:style w:type="paragraph" w:customStyle="1" w:styleId="85">
    <w:name w:val="_Style 8"/>
    <w:basedOn w:val="1"/>
    <w:qFormat/>
    <w:uiPriority w:val="99"/>
    <w:rPr>
      <w:rFonts w:ascii="Tahoma" w:hAnsi="Tahoma"/>
      <w:sz w:val="24"/>
      <w:szCs w:val="20"/>
    </w:rPr>
  </w:style>
  <w:style w:type="paragraph" w:customStyle="1" w:styleId="86">
    <w:name w:val="竖表标题不含说明"/>
    <w:basedOn w:val="87"/>
    <w:qFormat/>
    <w:uiPriority w:val="99"/>
    <w:pPr>
      <w:tabs>
        <w:tab w:val="center" w:pos="4820"/>
      </w:tabs>
      <w:spacing w:beforeLines="0" w:afterLines="0" w:line="240" w:lineRule="auto"/>
    </w:pPr>
  </w:style>
  <w:style w:type="paragraph" w:customStyle="1" w:styleId="87">
    <w:name w:val="竖表标题1级"/>
    <w:basedOn w:val="60"/>
    <w:qFormat/>
    <w:uiPriority w:val="99"/>
    <w:pPr>
      <w:tabs>
        <w:tab w:val="center" w:pos="4820"/>
        <w:tab w:val="clear" w:pos="4678"/>
      </w:tabs>
      <w:spacing w:beforeLines="100" w:afterLines="100"/>
    </w:pPr>
  </w:style>
  <w:style w:type="paragraph" w:customStyle="1" w:styleId="88">
    <w:name w:val="TOC Heading1"/>
    <w:basedOn w:val="2"/>
    <w:next w:val="1"/>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89">
    <w:name w:val="列出段落3"/>
    <w:basedOn w:val="1"/>
    <w:qFormat/>
    <w:uiPriority w:val="0"/>
    <w:pPr>
      <w:ind w:firstLine="420" w:firstLineChars="200"/>
    </w:pPr>
  </w:style>
  <w:style w:type="paragraph" w:customStyle="1" w:styleId="90">
    <w:name w:val="表格1级"/>
    <w:basedOn w:val="1"/>
    <w:uiPriority w:val="0"/>
    <w:pPr>
      <w:tabs>
        <w:tab w:val="left" w:pos="210"/>
        <w:tab w:val="center" w:pos="4620"/>
      </w:tabs>
      <w:spacing w:before="50" w:beforeLines="50" w:after="50" w:afterLines="50"/>
      <w:jc w:val="center"/>
      <w:outlineLvl w:val="0"/>
    </w:pPr>
    <w:rPr>
      <w:rFonts w:eastAsia="CESI宋体-GB2312"/>
      <w:b/>
      <w:sz w:val="28"/>
    </w:rPr>
  </w:style>
  <w:style w:type="paragraph" w:customStyle="1" w:styleId="91">
    <w:name w:val="说明1级"/>
    <w:basedOn w:val="1"/>
    <w:qFormat/>
    <w:uiPriority w:val="0"/>
    <w:pPr>
      <w:tabs>
        <w:tab w:val="center" w:pos="4200"/>
      </w:tabs>
      <w:spacing w:before="50" w:beforeLines="50" w:after="50" w:afterLines="50" w:line="360" w:lineRule="auto"/>
      <w:jc w:val="center"/>
      <w:outlineLvl w:val="0"/>
    </w:pPr>
    <w:rPr>
      <w:rFonts w:eastAsia="CESI宋体-GB2312"/>
      <w:b/>
      <w:sz w:val="28"/>
    </w:rPr>
  </w:style>
  <w:style w:type="paragraph" w:customStyle="1" w:styleId="92">
    <w:name w:val="填报说明正文"/>
    <w:basedOn w:val="1"/>
    <w:link w:val="93"/>
    <w:qFormat/>
    <w:uiPriority w:val="0"/>
    <w:pPr>
      <w:spacing w:line="480" w:lineRule="exact"/>
      <w:ind w:firstLine="640" w:firstLineChars="200"/>
    </w:pPr>
    <w:rPr>
      <w:rFonts w:eastAsia="CESI宋体-GB2312"/>
      <w:sz w:val="24"/>
    </w:rPr>
  </w:style>
  <w:style w:type="character" w:customStyle="1" w:styleId="93">
    <w:name w:val="填报说明正文 Char"/>
    <w:link w:val="92"/>
    <w:uiPriority w:val="0"/>
    <w:rPr>
      <w:rFonts w:eastAsia="CESI宋体-GB2312"/>
      <w:kern w:val="2"/>
      <w:sz w:val="24"/>
      <w:szCs w:val="24"/>
    </w:rPr>
  </w:style>
  <w:style w:type="paragraph" w:customStyle="1" w:styleId="94">
    <w:name w:val="文章内表格标题"/>
    <w:basedOn w:val="1"/>
    <w:qFormat/>
    <w:uiPriority w:val="0"/>
    <w:pPr>
      <w:snapToGrid w:val="0"/>
      <w:spacing w:line="520" w:lineRule="exact"/>
      <w:jc w:val="center"/>
    </w:pPr>
    <w:rPr>
      <w:rFonts w:eastAsia="CESI宋体-GB2312"/>
      <w:b/>
      <w:sz w:val="24"/>
    </w:rPr>
  </w:style>
  <w:style w:type="paragraph" w:customStyle="1" w:styleId="95">
    <w:name w:val="说明2级"/>
    <w:basedOn w:val="1"/>
    <w:uiPriority w:val="0"/>
    <w:pPr>
      <w:spacing w:before="50" w:beforeLines="50" w:line="360" w:lineRule="auto"/>
      <w:ind w:firstLine="640" w:firstLineChars="200"/>
      <w:outlineLvl w:val="1"/>
    </w:pPr>
    <w:rPr>
      <w:rFonts w:eastAsia="CESI黑体-GB2312"/>
      <w:sz w:val="24"/>
    </w:rPr>
  </w:style>
  <w:style w:type="table" w:customStyle="1" w:styleId="96">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5021</Words>
  <Characters>5795</Characters>
  <Lines>41</Lines>
  <Paragraphs>11</Paragraphs>
  <TotalTime>2</TotalTime>
  <ScaleCrop>false</ScaleCrop>
  <LinksUpToDate>false</LinksUpToDate>
  <CharactersWithSpaces>5841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2022-01-08T09:30:00Z</dcterms:created>
  <dc:creator>曹凯</dc:creator>
  <cp:lastModifiedBy>默默</cp:lastModifiedBy>
  <cp:lastPrinted>2018-01-30T01:54:00Z</cp:lastPrinted>
  <dcterms:modified xsi:type="dcterms:W3CDTF">2023-01-14T12:11:37Z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92D37BB9DB3F4003893AC962443F21AC</vt:lpwstr>
  </property>
</Properties>
</file>