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C8A2B">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shd w:val="clear" w:fill="FFFFFF"/>
          <w:lang w:val="en-US" w:eastAsia="zh-CN" w:bidi="ar"/>
        </w:rPr>
        <w:t>第13章  增值税会计处理——从6010起</w:t>
      </w:r>
    </w:p>
    <w:p w14:paraId="585B3E47">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 xml:space="preserve">13.1  </w:t>
      </w:r>
      <w:r>
        <w:rPr>
          <w:rFonts w:hint="eastAsia" w:ascii="宋体" w:hAnsi="宋体" w:eastAsia="宋体" w:cs="宋体"/>
          <w:sz w:val="24"/>
          <w:szCs w:val="24"/>
        </w:rPr>
        <w:t>会计科目、专栏设置</w:t>
      </w:r>
    </w:p>
    <w:p w14:paraId="10BCCDC0">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纳税人应当按照国家统一的会计制度进行增值税会计核算。</w:t>
      </w:r>
    </w:p>
    <w:p w14:paraId="4A1D38DB">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0" w:name="_Hlk772638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2"/>
          <w:rFonts w:hint="eastAsia" w:ascii="宋体" w:hAnsi="宋体" w:eastAsia="宋体" w:cs="宋体"/>
          <w:kern w:val="0"/>
          <w:sz w:val="24"/>
          <w:szCs w:val="24"/>
        </w:rPr>
        <w:t>财税[2016]36号附件1</w:t>
      </w:r>
      <w:r>
        <w:rPr>
          <w:rStyle w:val="12"/>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第八条）</w:t>
      </w:r>
    </w:p>
    <w:bookmarkEnd w:id="0"/>
    <w:p w14:paraId="06B5AC0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》和《关于全面推开营业税改征增值税试点的通知》（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）等有关规定，现对增值税有关会计处理规定如下</w:t>
      </w:r>
      <w:r>
        <w:rPr>
          <w:rFonts w:hint="eastAsia" w:ascii="宋体" w:hAnsi="宋体" w:eastAsia="宋体" w:cs="宋体"/>
          <w:color w:val="000000" w:themeColor="text1"/>
          <w:kern w:val="0"/>
          <w:sz w:val="24"/>
          <w:szCs w:val="24"/>
          <w14:textFill>
            <w14:solidFill>
              <w14:schemeClr w14:val="tx1"/>
            </w14:solidFill>
          </w14:textFill>
        </w:rPr>
        <w:t>：</w:t>
      </w:r>
    </w:p>
    <w:p w14:paraId="2C5D1DD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1" w:name="_Toc12895098"/>
      <w:r>
        <w:rPr>
          <w:rFonts w:hint="eastAsia" w:ascii="宋体" w:hAnsi="宋体" w:eastAsia="宋体" w:cs="宋体"/>
          <w:sz w:val="24"/>
          <w:szCs w:val="24"/>
          <w:lang w:val="en-US" w:eastAsia="zh-CN"/>
        </w:rPr>
        <w:t xml:space="preserve">13.1.1  </w:t>
      </w:r>
      <w:r>
        <w:rPr>
          <w:rFonts w:hint="eastAsia" w:ascii="宋体" w:hAnsi="宋体" w:eastAsia="宋体" w:cs="宋体"/>
          <w:sz w:val="24"/>
          <w:szCs w:val="24"/>
        </w:rPr>
        <w:t>增值税一般纳税人</w:t>
      </w:r>
      <w:bookmarkEnd w:id="1"/>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6010</w:t>
      </w:r>
    </w:p>
    <w:p w14:paraId="739F905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当在“应交税费”科目下设置“应交增值税”、“未交增值税”、“预交增值税”、“待抵扣进项税额”、“待认证进项税额”、“待转销项税额”、“增值税留抵税额”、“简易计税”、“转让金融商品应交增值税”、“代扣代交增值税”等明细科目。</w:t>
      </w:r>
    </w:p>
    <w:p w14:paraId="20E711D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 w:name="_Hlk52604227"/>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"http://ssfb86.com/index/News/detail/newsid/595.html" </w:instrText>
      </w:r>
      <w:r>
        <w:rPr>
          <w:rFonts w:hint="eastAsia" w:ascii="宋体" w:hAnsi="宋体" w:eastAsia="宋体" w:cs="宋体"/>
          <w:sz w:val="24"/>
          <w:szCs w:val="24"/>
          <w:shd w:val="clear" w:color="auto" w:fill="FFFFFF"/>
        </w:rPr>
        <w:fldChar w:fldCharType="separate"/>
      </w:r>
      <w:r>
        <w:rPr>
          <w:rStyle w:val="12"/>
          <w:rFonts w:hint="eastAsia" w:ascii="宋体" w:hAnsi="宋体" w:eastAsia="宋体" w:cs="宋体"/>
          <w:sz w:val="24"/>
          <w:szCs w:val="24"/>
          <w:shd w:val="clear" w:color="auto" w:fill="FFFFFF"/>
        </w:rPr>
        <w:t>财会〔2016〕22号</w:t>
      </w:r>
      <w:r>
        <w:rPr>
          <w:rFonts w:hint="eastAsia" w:ascii="宋体" w:hAnsi="宋体" w:eastAsia="宋体" w:cs="宋体"/>
          <w:sz w:val="24"/>
          <w:szCs w:val="24"/>
          <w:shd w:val="clear" w:color="auto" w:fill="FFFFFF"/>
        </w:rPr>
        <w:fldChar w:fldCharType="end"/>
      </w:r>
      <w:bookmarkEnd w:id="2"/>
      <w:r>
        <w:rPr>
          <w:rFonts w:hint="eastAsia" w:ascii="宋体" w:hAnsi="宋体" w:eastAsia="宋体" w:cs="宋体"/>
          <w:color w:val="000000" w:themeColor="text1"/>
          <w:sz w:val="24"/>
          <w:szCs w:val="24"/>
          <w:shd w:val="clear" w:color="auto" w:fill="FFFFFF"/>
          <w14:textFill>
            <w14:solidFill>
              <w14:schemeClr w14:val="tx1"/>
            </w14:solidFill>
          </w14:textFill>
        </w:rPr>
        <w:t>第一条  ）</w:t>
      </w:r>
    </w:p>
    <w:p w14:paraId="0578CED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 w:name="_Toc12895099"/>
      <w:r>
        <w:rPr>
          <w:rFonts w:hint="eastAsia" w:ascii="宋体" w:hAnsi="宋体" w:eastAsia="宋体" w:cs="宋体"/>
          <w:sz w:val="24"/>
          <w:szCs w:val="24"/>
          <w:lang w:val="en-US" w:eastAsia="zh-CN"/>
        </w:rPr>
        <w:t xml:space="preserve">13.1.1.1  </w:t>
      </w:r>
      <w:r>
        <w:rPr>
          <w:rFonts w:hint="eastAsia" w:ascii="宋体" w:hAnsi="宋体" w:eastAsia="宋体" w:cs="宋体"/>
          <w:sz w:val="24"/>
          <w:szCs w:val="24"/>
        </w:rPr>
        <w:t>“应交增值税”明细账内设置专栏</w:t>
      </w:r>
      <w:bookmarkEnd w:id="3"/>
    </w:p>
    <w:p w14:paraId="698F942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应在“应交增值税”明细账内设置“进项税额”、“销项税额抵减”、“已交税金”、“转出未交增值税”、“减免税款”、“出口抵减内销产品应纳税额”、“销项税额”、“出口退税”、“进项税额转出”、“转出多交增值税”等专栏。其中：</w:t>
      </w:r>
    </w:p>
    <w:p w14:paraId="5365C89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06BCF10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 w:name="_Toc12895100"/>
      <w:r>
        <w:rPr>
          <w:rFonts w:hint="eastAsia" w:ascii="宋体" w:hAnsi="宋体" w:eastAsia="宋体" w:cs="宋体"/>
          <w:sz w:val="24"/>
          <w:szCs w:val="24"/>
          <w:lang w:val="en-US" w:eastAsia="zh-CN"/>
        </w:rPr>
        <w:t xml:space="preserve">13.1.1.1.1  </w:t>
      </w:r>
      <w:r>
        <w:rPr>
          <w:rFonts w:hint="eastAsia" w:ascii="宋体" w:hAnsi="宋体" w:eastAsia="宋体" w:cs="宋体"/>
          <w:sz w:val="24"/>
          <w:szCs w:val="24"/>
        </w:rPr>
        <w:t>“进项税额”专栏</w:t>
      </w:r>
      <w:bookmarkEnd w:id="4"/>
    </w:p>
    <w:p w14:paraId="2F33ECD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记录一般纳税人购进货物、加工修理修配劳务、服务、无形资产或不动产而支付或负担的、准予从当期销项税额中抵扣的增值税额；</w:t>
      </w:r>
    </w:p>
    <w:p w14:paraId="4A20703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w:t>
      </w:r>
    </w:p>
    <w:p w14:paraId="4D98D39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 w:name="_Toc12895101"/>
      <w:r>
        <w:rPr>
          <w:rFonts w:hint="eastAsia" w:ascii="宋体" w:hAnsi="宋体" w:eastAsia="宋体" w:cs="宋体"/>
          <w:sz w:val="24"/>
          <w:szCs w:val="24"/>
          <w:lang w:val="en-US" w:eastAsia="zh-CN"/>
        </w:rPr>
        <w:t xml:space="preserve">13.1.1.1.2  </w:t>
      </w:r>
      <w:r>
        <w:rPr>
          <w:rFonts w:hint="eastAsia" w:ascii="宋体" w:hAnsi="宋体" w:eastAsia="宋体" w:cs="宋体"/>
          <w:sz w:val="24"/>
          <w:szCs w:val="24"/>
        </w:rPr>
        <w:t>“销项税额抵减”专栏</w:t>
      </w:r>
      <w:bookmarkEnd w:id="5"/>
    </w:p>
    <w:p w14:paraId="16DE6B9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记录一般纳税人按照现行增值税制度规定因扣减销售额而减少的销项税额；</w:t>
      </w:r>
    </w:p>
    <w:p w14:paraId="68E1ADD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第一条第一款第二项）</w:t>
      </w:r>
    </w:p>
    <w:p w14:paraId="49907AE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 w:name="_Toc12895102"/>
      <w:r>
        <w:rPr>
          <w:rFonts w:hint="eastAsia" w:ascii="宋体" w:hAnsi="宋体" w:eastAsia="宋体" w:cs="宋体"/>
          <w:sz w:val="24"/>
          <w:szCs w:val="24"/>
          <w:lang w:val="en-US" w:eastAsia="zh-CN"/>
        </w:rPr>
        <w:t xml:space="preserve">13.1.1.1.3  </w:t>
      </w:r>
      <w:r>
        <w:rPr>
          <w:rFonts w:hint="eastAsia" w:ascii="宋体" w:hAnsi="宋体" w:eastAsia="宋体" w:cs="宋体"/>
          <w:sz w:val="24"/>
          <w:szCs w:val="24"/>
        </w:rPr>
        <w:t>“已交税金”专栏</w:t>
      </w:r>
      <w:bookmarkEnd w:id="6"/>
    </w:p>
    <w:p w14:paraId="11854AC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记录一般纳税人当月已交纳的应交增值税额；</w:t>
      </w:r>
    </w:p>
    <w:p w14:paraId="7C5F50B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第一条第一款第三项）</w:t>
      </w:r>
    </w:p>
    <w:p w14:paraId="707FB3B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 w:name="_Toc12895103"/>
      <w:r>
        <w:rPr>
          <w:rFonts w:hint="eastAsia" w:ascii="宋体" w:hAnsi="宋体" w:eastAsia="宋体" w:cs="宋体"/>
          <w:sz w:val="24"/>
          <w:szCs w:val="24"/>
          <w:lang w:val="en-US" w:eastAsia="zh-CN"/>
        </w:rPr>
        <w:t xml:space="preserve">13.1.1.1.4  </w:t>
      </w:r>
      <w:r>
        <w:rPr>
          <w:rFonts w:hint="eastAsia" w:ascii="宋体" w:hAnsi="宋体" w:eastAsia="宋体" w:cs="宋体"/>
          <w:sz w:val="24"/>
          <w:szCs w:val="24"/>
        </w:rPr>
        <w:t>“转出未交增值税”和“转出多交增值税”专栏</w:t>
      </w:r>
      <w:bookmarkEnd w:id="7"/>
    </w:p>
    <w:p w14:paraId="1271856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分别记录一般纳税人月度终了转出当月应交未交或多交的增值税额；</w:t>
      </w:r>
    </w:p>
    <w:p w14:paraId="64126B7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第一条第一款第四项）</w:t>
      </w:r>
    </w:p>
    <w:p w14:paraId="2F81199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 w:name="_Toc12895104"/>
      <w:r>
        <w:rPr>
          <w:rFonts w:hint="eastAsia" w:ascii="宋体" w:hAnsi="宋体" w:eastAsia="宋体" w:cs="宋体"/>
          <w:sz w:val="24"/>
          <w:szCs w:val="24"/>
          <w:lang w:val="en-US" w:eastAsia="zh-CN"/>
        </w:rPr>
        <w:t xml:space="preserve">13.1.1.1.5  </w:t>
      </w:r>
      <w:r>
        <w:rPr>
          <w:rFonts w:hint="eastAsia" w:ascii="宋体" w:hAnsi="宋体" w:eastAsia="宋体" w:cs="宋体"/>
          <w:sz w:val="24"/>
          <w:szCs w:val="24"/>
        </w:rPr>
        <w:t>“减免税款”专栏</w:t>
      </w:r>
      <w:bookmarkEnd w:id="8"/>
    </w:p>
    <w:p w14:paraId="13D8050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记录一般纳税人按现行增值税制度规定准予减免的增值税额；</w:t>
      </w:r>
    </w:p>
    <w:p w14:paraId="191E65A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第一条第一款第五项）</w:t>
      </w:r>
    </w:p>
    <w:p w14:paraId="1514412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 w:name="_Toc12895105"/>
      <w:r>
        <w:rPr>
          <w:rFonts w:hint="eastAsia" w:ascii="宋体" w:hAnsi="宋体" w:eastAsia="宋体" w:cs="宋体"/>
          <w:sz w:val="24"/>
          <w:szCs w:val="24"/>
          <w:lang w:val="en-US" w:eastAsia="zh-CN"/>
        </w:rPr>
        <w:t xml:space="preserve">13.1.1.1.6  </w:t>
      </w:r>
      <w:r>
        <w:rPr>
          <w:rFonts w:hint="eastAsia" w:ascii="宋体" w:hAnsi="宋体" w:eastAsia="宋体" w:cs="宋体"/>
          <w:sz w:val="24"/>
          <w:szCs w:val="24"/>
        </w:rPr>
        <w:t>“出口抵减内销产品应纳税额”专栏</w:t>
      </w:r>
      <w:bookmarkEnd w:id="9"/>
    </w:p>
    <w:p w14:paraId="5F8D780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记录实行“免、抵、退”办法的一般纳税人按规定计算的出口货物的进项税抵减内销产品的应纳税额；</w:t>
      </w:r>
    </w:p>
    <w:p w14:paraId="1A42686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0" w:name="_Hlk928047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第一条第一款第六项）</w:t>
      </w:r>
    </w:p>
    <w:bookmarkEnd w:id="10"/>
    <w:p w14:paraId="007ED5B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 w:name="_Toc12895106"/>
      <w:r>
        <w:rPr>
          <w:rFonts w:hint="eastAsia" w:ascii="宋体" w:hAnsi="宋体" w:eastAsia="宋体" w:cs="宋体"/>
          <w:sz w:val="24"/>
          <w:szCs w:val="24"/>
          <w:lang w:val="en-US" w:eastAsia="zh-CN"/>
        </w:rPr>
        <w:t xml:space="preserve">13.1.1.1.7  </w:t>
      </w:r>
      <w:r>
        <w:rPr>
          <w:rFonts w:hint="eastAsia" w:ascii="宋体" w:hAnsi="宋体" w:eastAsia="宋体" w:cs="宋体"/>
          <w:sz w:val="24"/>
          <w:szCs w:val="24"/>
        </w:rPr>
        <w:t>“销项税额”专栏</w:t>
      </w:r>
      <w:bookmarkEnd w:id="11"/>
    </w:p>
    <w:p w14:paraId="6414981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记录一般纳税人销售货物、加工修理修配劳务、服务、无形资产或不动产应收取的增值税额；</w:t>
      </w:r>
    </w:p>
    <w:p w14:paraId="63862B3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第一条第一款第七项）</w:t>
      </w:r>
    </w:p>
    <w:p w14:paraId="0C008CE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 w:name="_Toc12895107"/>
      <w:r>
        <w:rPr>
          <w:rFonts w:hint="eastAsia" w:ascii="宋体" w:hAnsi="宋体" w:eastAsia="宋体" w:cs="宋体"/>
          <w:sz w:val="24"/>
          <w:szCs w:val="24"/>
          <w:lang w:val="en-US" w:eastAsia="zh-CN"/>
        </w:rPr>
        <w:t xml:space="preserve">13.1.1.1.8  </w:t>
      </w:r>
      <w:r>
        <w:rPr>
          <w:rFonts w:hint="eastAsia" w:ascii="宋体" w:hAnsi="宋体" w:eastAsia="宋体" w:cs="宋体"/>
          <w:sz w:val="24"/>
          <w:szCs w:val="24"/>
        </w:rPr>
        <w:t>“出口退税”专栏</w:t>
      </w:r>
      <w:bookmarkEnd w:id="12"/>
    </w:p>
    <w:p w14:paraId="2A33150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记录一般纳税人出口货物、加工修理修配劳务、服务、无形资产按规定退回的增值税额；</w:t>
      </w:r>
    </w:p>
    <w:p w14:paraId="3105C60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第一条第一款第八项）</w:t>
      </w:r>
    </w:p>
    <w:p w14:paraId="79EC81A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 w:name="_Toc12895108"/>
      <w:r>
        <w:rPr>
          <w:rFonts w:hint="eastAsia" w:ascii="宋体" w:hAnsi="宋体" w:eastAsia="宋体" w:cs="宋体"/>
          <w:sz w:val="24"/>
          <w:szCs w:val="24"/>
          <w:lang w:val="en-US" w:eastAsia="zh-CN"/>
        </w:rPr>
        <w:t xml:space="preserve">13.1.1.1.9  </w:t>
      </w:r>
      <w:r>
        <w:rPr>
          <w:rFonts w:hint="eastAsia" w:ascii="宋体" w:hAnsi="宋体" w:eastAsia="宋体" w:cs="宋体"/>
          <w:sz w:val="24"/>
          <w:szCs w:val="24"/>
        </w:rPr>
        <w:t>“进项税额转出”专栏</w:t>
      </w:r>
      <w:bookmarkEnd w:id="13"/>
    </w:p>
    <w:p w14:paraId="11F1F40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记录一般纳税人购进货物、加工修理修配劳务、服务、无形资产或不动产等发生非正常损失以及其他原因而不应从销项税额中抵扣、按规定转出的进项税额。</w:t>
      </w:r>
    </w:p>
    <w:p w14:paraId="24B78A2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第一条第一款第九项）</w:t>
      </w:r>
    </w:p>
    <w:p w14:paraId="1B3551E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4" w:name="_Toc12895109"/>
      <w:r>
        <w:rPr>
          <w:rFonts w:hint="eastAsia" w:ascii="宋体" w:hAnsi="宋体" w:eastAsia="宋体" w:cs="宋体"/>
          <w:sz w:val="24"/>
          <w:szCs w:val="24"/>
          <w:lang w:val="en-US" w:eastAsia="zh-CN"/>
        </w:rPr>
        <w:t xml:space="preserve">13.1.1.2  </w:t>
      </w:r>
      <w:r>
        <w:rPr>
          <w:rFonts w:hint="eastAsia" w:ascii="宋体" w:hAnsi="宋体" w:eastAsia="宋体" w:cs="宋体"/>
          <w:sz w:val="24"/>
          <w:szCs w:val="24"/>
        </w:rPr>
        <w:t>“未交增值税”明细科目</w:t>
      </w:r>
      <w:bookmarkEnd w:id="14"/>
    </w:p>
    <w:p w14:paraId="1BC068E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核算一般纳税人月度终了从“应交增值税”或“预交增值税”明细科目转入当月应交未交、多交或预缴的增值税额，以及当月交纳以前期间未交的增值税额。</w:t>
      </w:r>
    </w:p>
    <w:p w14:paraId="646B47C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28EF7B2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5" w:name="_Toc12895110"/>
      <w:r>
        <w:rPr>
          <w:rFonts w:hint="eastAsia" w:ascii="宋体" w:hAnsi="宋体" w:eastAsia="宋体" w:cs="宋体"/>
          <w:sz w:val="24"/>
          <w:szCs w:val="24"/>
          <w:lang w:val="en-US" w:eastAsia="zh-CN"/>
        </w:rPr>
        <w:t xml:space="preserve">13.1.1.3  </w:t>
      </w:r>
      <w:r>
        <w:rPr>
          <w:rFonts w:hint="eastAsia" w:ascii="宋体" w:hAnsi="宋体" w:eastAsia="宋体" w:cs="宋体"/>
          <w:sz w:val="24"/>
          <w:szCs w:val="24"/>
        </w:rPr>
        <w:t>“预交增值税”明细科目</w:t>
      </w:r>
      <w:bookmarkEnd w:id="15"/>
    </w:p>
    <w:p w14:paraId="6BC5876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核算一般纳税人转让不动产、提供不动产经营租赁服务、提供建筑服务、采用预收款方式销售自行开发的房地产项目等，以及其他按现行增值税制度规定应预缴的增值税额。</w:t>
      </w:r>
    </w:p>
    <w:p w14:paraId="1482C1D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503648A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房地产开发企业等在预缴增值税后，应</w:t>
      </w:r>
      <w:r>
        <w:rPr>
          <w:rFonts w:hint="eastAsia" w:ascii="宋体" w:hAnsi="宋体" w:eastAsia="宋体" w:cs="宋体"/>
          <w:b/>
          <w:color w:val="000000" w:themeColor="text1"/>
          <w:kern w:val="0"/>
          <w:sz w:val="24"/>
          <w:szCs w:val="24"/>
          <w14:textFill>
            <w14:solidFill>
              <w14:schemeClr w14:val="tx1"/>
            </w14:solidFill>
          </w14:textFill>
        </w:rPr>
        <w:t>直至纳税义务发生时方可</w:t>
      </w:r>
      <w:r>
        <w:rPr>
          <w:rFonts w:hint="eastAsia" w:ascii="宋体" w:hAnsi="宋体" w:eastAsia="宋体" w:cs="宋体"/>
          <w:color w:val="000000" w:themeColor="text1"/>
          <w:kern w:val="0"/>
          <w:sz w:val="24"/>
          <w:szCs w:val="24"/>
          <w14:textFill>
            <w14:solidFill>
              <w14:schemeClr w14:val="tx1"/>
            </w14:solidFill>
          </w14:textFill>
        </w:rPr>
        <w:t>从“应交税费——预交增值税”科目结转至“应交税费——未交增值税”科目。</w:t>
      </w:r>
    </w:p>
    <w:p w14:paraId="0744A0D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第二条第七款第三项）</w:t>
      </w:r>
    </w:p>
    <w:p w14:paraId="74D2E9E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6" w:name="_Toc12895111"/>
      <w:r>
        <w:rPr>
          <w:rFonts w:hint="eastAsia" w:ascii="宋体" w:hAnsi="宋体" w:eastAsia="宋体" w:cs="宋体"/>
          <w:sz w:val="24"/>
          <w:szCs w:val="24"/>
          <w:lang w:val="en-US" w:eastAsia="zh-CN"/>
        </w:rPr>
        <w:t xml:space="preserve">13.1.1.4  </w:t>
      </w:r>
      <w:r>
        <w:rPr>
          <w:rFonts w:hint="eastAsia" w:ascii="宋体" w:hAnsi="宋体" w:eastAsia="宋体" w:cs="宋体"/>
          <w:sz w:val="24"/>
          <w:szCs w:val="24"/>
        </w:rPr>
        <w:t>“待抵扣进项税额”明细科目</w:t>
      </w:r>
      <w:bookmarkEnd w:id="16"/>
    </w:p>
    <w:p w14:paraId="6CE5099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核算一般纳税人已取得增值税扣税凭证并经税务机关认证，按照现行增值税制度规定准予以后期间从销项税额中抵扣的进项税额。包括：</w:t>
      </w:r>
      <w:r>
        <w:rPr>
          <w:rFonts w:hint="eastAsia" w:ascii="宋体" w:hAnsi="宋体" w:eastAsia="宋体" w:cs="宋体"/>
          <w:iCs/>
          <w:strike/>
          <w:color w:val="000000" w:themeColor="text1"/>
          <w:kern w:val="0"/>
          <w:sz w:val="24"/>
          <w:szCs w:val="24"/>
          <w14:textFill>
            <w14:solidFill>
              <w14:schemeClr w14:val="tx1"/>
            </w14:solidFill>
          </w14:textFill>
        </w:rPr>
        <w:t>一般纳税人自2016年5月1日后取得并按固定资产核算的不动产或者2016年5月1日后取得的不动产在建工程，按现行增值税制度规定准予以后期间从销项税额中抵扣的进项税额</w:t>
      </w:r>
      <w:r>
        <w:rPr>
          <w:rFonts w:hint="eastAsia" w:ascii="宋体" w:hAnsi="宋体" w:eastAsia="宋体" w:cs="宋体"/>
          <w:color w:val="000000" w:themeColor="text1"/>
          <w:kern w:val="0"/>
          <w:sz w:val="24"/>
          <w:szCs w:val="24"/>
          <w14:textFill>
            <w14:solidFill>
              <w14:schemeClr w14:val="tx1"/>
            </w14:solidFill>
          </w14:textFill>
        </w:rPr>
        <w:t>；实行纳税辅导期管理的一般纳税人取得的尚未交叉稽核比对的增值税扣税凭证上注明或计算的进项税额。</w:t>
      </w:r>
    </w:p>
    <w:p w14:paraId="5F85A5E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6F3E96D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 w:name="_Toc12895112"/>
      <w:r>
        <w:rPr>
          <w:rFonts w:hint="eastAsia" w:ascii="宋体" w:hAnsi="宋体" w:eastAsia="宋体" w:cs="宋体"/>
          <w:sz w:val="24"/>
          <w:szCs w:val="24"/>
          <w:lang w:val="en-US" w:eastAsia="zh-CN"/>
        </w:rPr>
        <w:t xml:space="preserve">13.1.1.5  </w:t>
      </w:r>
      <w:r>
        <w:rPr>
          <w:rFonts w:hint="eastAsia" w:ascii="宋体" w:hAnsi="宋体" w:eastAsia="宋体" w:cs="宋体"/>
          <w:sz w:val="24"/>
          <w:szCs w:val="24"/>
        </w:rPr>
        <w:t>“待认证进项税额”明细科目</w:t>
      </w:r>
      <w:bookmarkEnd w:id="17"/>
    </w:p>
    <w:p w14:paraId="093E287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一般纳税人由于未经税务机关认证而不得从当期销项税额中抵扣的进项税额。包括：一般纳税人已取得增值税扣税凭证、按照现行增值税制度规定准予从销项税额中抵扣，但尚未经税务机关认证的进项税额；一般纳税人已申请稽核但尚未取得稽核相符结果的海关缴款书进项税额。</w:t>
      </w:r>
    </w:p>
    <w:p w14:paraId="0C80011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8" w:name="_Hlk928059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第一条第五款）</w:t>
      </w:r>
    </w:p>
    <w:bookmarkEnd w:id="18"/>
    <w:p w14:paraId="0D6E6DB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9" w:name="_Toc12895113"/>
      <w:r>
        <w:rPr>
          <w:rFonts w:hint="eastAsia" w:ascii="宋体" w:hAnsi="宋体" w:eastAsia="宋体" w:cs="宋体"/>
          <w:sz w:val="24"/>
          <w:szCs w:val="24"/>
          <w:lang w:val="en-US" w:eastAsia="zh-CN"/>
        </w:rPr>
        <w:t xml:space="preserve">13.1.1.6  </w:t>
      </w:r>
      <w:r>
        <w:rPr>
          <w:rFonts w:hint="eastAsia" w:ascii="宋体" w:hAnsi="宋体" w:eastAsia="宋体" w:cs="宋体"/>
          <w:sz w:val="24"/>
          <w:szCs w:val="24"/>
        </w:rPr>
        <w:t>“待转销项税额”明细科目</w:t>
      </w:r>
      <w:bookmarkEnd w:id="19"/>
    </w:p>
    <w:p w14:paraId="75BDC24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核算一般纳税人销售货物、加工修理修配劳务、服务、无形资产或不动产，已确认相关收入（或利得）但尚未发生增值税纳税义务而需于以后期间确认为销项税额的增值税额。</w:t>
      </w:r>
    </w:p>
    <w:p w14:paraId="6047BF1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第一条第六款）</w:t>
      </w:r>
    </w:p>
    <w:p w14:paraId="5D42AB7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 w:name="_Toc12895114"/>
      <w:r>
        <w:rPr>
          <w:rFonts w:hint="eastAsia" w:ascii="宋体" w:hAnsi="宋体" w:eastAsia="宋体" w:cs="宋体"/>
          <w:sz w:val="24"/>
          <w:szCs w:val="24"/>
          <w:lang w:val="en-US" w:eastAsia="zh-CN"/>
        </w:rPr>
        <w:t xml:space="preserve">13.1.1.7  </w:t>
      </w:r>
      <w:r>
        <w:rPr>
          <w:rFonts w:hint="eastAsia" w:ascii="宋体" w:hAnsi="宋体" w:eastAsia="宋体" w:cs="宋体"/>
          <w:sz w:val="24"/>
          <w:szCs w:val="24"/>
        </w:rPr>
        <w:t>“增值税留抵税额”明细科目</w:t>
      </w:r>
      <w:bookmarkEnd w:id="20"/>
    </w:p>
    <w:p w14:paraId="75D0856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兼有销售服务、无形资产或者不动产的原增值税一般纳税人，截止到纳入营改增试点之日前的增值税期末留抵税额按照现行增值税制度规定不得从销售服务、无形资产或不动产的销项税额中抵扣的增值税留抵税额。</w:t>
      </w:r>
    </w:p>
    <w:p w14:paraId="62FA2C8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第一条第七款）</w:t>
      </w:r>
    </w:p>
    <w:p w14:paraId="4463D28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 w:name="_Toc12895115"/>
      <w:r>
        <w:rPr>
          <w:rFonts w:hint="eastAsia" w:ascii="宋体" w:hAnsi="宋体" w:eastAsia="宋体" w:cs="宋体"/>
          <w:sz w:val="24"/>
          <w:szCs w:val="24"/>
          <w:lang w:val="en-US" w:eastAsia="zh-CN"/>
        </w:rPr>
        <w:t xml:space="preserve">13.1.1.8  </w:t>
      </w:r>
      <w:r>
        <w:rPr>
          <w:rFonts w:hint="eastAsia" w:ascii="宋体" w:hAnsi="宋体" w:eastAsia="宋体" w:cs="宋体"/>
          <w:sz w:val="24"/>
          <w:szCs w:val="24"/>
        </w:rPr>
        <w:t>“简易计税”明细科目</w:t>
      </w:r>
      <w:bookmarkEnd w:id="21"/>
    </w:p>
    <w:p w14:paraId="30E687E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核算一般纳税人采用简易计税方法发生的增值税计提、扣减、预缴、缴纳等业务。</w:t>
      </w:r>
    </w:p>
    <w:p w14:paraId="5AA61A9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第一条第八款）</w:t>
      </w:r>
    </w:p>
    <w:p w14:paraId="2AF06BA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 w:name="_Toc12895116"/>
      <w:r>
        <w:rPr>
          <w:rFonts w:hint="eastAsia" w:ascii="宋体" w:hAnsi="宋体" w:eastAsia="宋体" w:cs="宋体"/>
          <w:sz w:val="24"/>
          <w:szCs w:val="24"/>
          <w:lang w:val="en-US" w:eastAsia="zh-CN"/>
        </w:rPr>
        <w:t xml:space="preserve">13.1.1.9  </w:t>
      </w:r>
      <w:r>
        <w:rPr>
          <w:rFonts w:hint="eastAsia" w:ascii="宋体" w:hAnsi="宋体" w:eastAsia="宋体" w:cs="宋体"/>
          <w:sz w:val="24"/>
          <w:szCs w:val="24"/>
        </w:rPr>
        <w:t>“转让金融商品应交增值税”明细科目</w:t>
      </w:r>
      <w:bookmarkEnd w:id="22"/>
    </w:p>
    <w:p w14:paraId="7A93235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核算增值税纳税人转让金融商品发生的增值税额。</w:t>
      </w:r>
    </w:p>
    <w:p w14:paraId="01AE5F5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第一条第九款）</w:t>
      </w:r>
    </w:p>
    <w:p w14:paraId="0184F04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3" w:name="_Toc12895117"/>
      <w:r>
        <w:rPr>
          <w:rFonts w:hint="eastAsia" w:ascii="宋体" w:hAnsi="宋体" w:eastAsia="宋体" w:cs="宋体"/>
          <w:sz w:val="24"/>
          <w:szCs w:val="24"/>
          <w:lang w:val="en-US" w:eastAsia="zh-CN"/>
        </w:rPr>
        <w:t xml:space="preserve">13.1.1.10  </w:t>
      </w:r>
      <w:r>
        <w:rPr>
          <w:rFonts w:hint="eastAsia" w:ascii="宋体" w:hAnsi="宋体" w:eastAsia="宋体" w:cs="宋体"/>
          <w:sz w:val="24"/>
          <w:szCs w:val="24"/>
        </w:rPr>
        <w:t>“代扣代交增值税”明细科目</w:t>
      </w:r>
      <w:bookmarkEnd w:id="23"/>
    </w:p>
    <w:p w14:paraId="07BCFFF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核算纳税人购进在境内未设经营机构的境外单位或个人在境内的应税行为代扣代缴的增值税。</w:t>
      </w:r>
    </w:p>
    <w:p w14:paraId="5DBCE0E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第一条第十款第一项）</w:t>
      </w:r>
    </w:p>
    <w:p w14:paraId="05B194B6">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24" w:name="_Toc12895118"/>
      <w:r>
        <w:rPr>
          <w:rFonts w:hint="eastAsia" w:ascii="宋体" w:hAnsi="宋体" w:eastAsia="宋体" w:cs="宋体"/>
          <w:sz w:val="24"/>
          <w:szCs w:val="24"/>
          <w:lang w:val="en-US" w:eastAsia="zh-CN"/>
        </w:rPr>
        <w:t xml:space="preserve">13.1.2  </w:t>
      </w:r>
      <w:r>
        <w:rPr>
          <w:rFonts w:hint="eastAsia" w:ascii="宋体" w:hAnsi="宋体" w:eastAsia="宋体" w:cs="宋体"/>
          <w:sz w:val="24"/>
          <w:szCs w:val="24"/>
        </w:rPr>
        <w:t>小规模纳税人</w:t>
      </w:r>
      <w:bookmarkEnd w:id="24"/>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6020</w:t>
      </w:r>
    </w:p>
    <w:p w14:paraId="6A8C6BA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只需在“应交税费”科目下设置“应交增值税”明细科目，不需要设置上述专栏及除“转让金融商品应交增值税”、“代扣代交增值税”外的明细科目。</w:t>
      </w:r>
    </w:p>
    <w:p w14:paraId="12C9A2E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第一条第十款第二项）</w:t>
      </w:r>
    </w:p>
    <w:p w14:paraId="3D0C8B11">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13.2  </w:t>
      </w:r>
      <w:r>
        <w:rPr>
          <w:rFonts w:hint="eastAsia" w:ascii="宋体" w:hAnsi="宋体" w:eastAsia="宋体" w:cs="宋体"/>
          <w:sz w:val="24"/>
          <w:szCs w:val="24"/>
        </w:rPr>
        <w:t>账务处理</w:t>
      </w:r>
    </w:p>
    <w:p w14:paraId="6B014452">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25" w:name="_Toc12895120"/>
      <w:r>
        <w:rPr>
          <w:rFonts w:hint="eastAsia" w:ascii="宋体" w:hAnsi="宋体" w:eastAsia="宋体" w:cs="宋体"/>
          <w:sz w:val="24"/>
          <w:szCs w:val="24"/>
          <w:lang w:val="en-US" w:eastAsia="zh-CN"/>
        </w:rPr>
        <w:t xml:space="preserve">13.2.1  </w:t>
      </w:r>
      <w:r>
        <w:rPr>
          <w:rFonts w:hint="eastAsia" w:ascii="宋体" w:hAnsi="宋体" w:eastAsia="宋体" w:cs="宋体"/>
          <w:sz w:val="24"/>
          <w:szCs w:val="24"/>
        </w:rPr>
        <w:t>取得资产或接受劳务等业务的账务处理</w:t>
      </w:r>
      <w:bookmarkEnd w:id="2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6030</w:t>
      </w:r>
    </w:p>
    <w:p w14:paraId="03359EE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 w:name="_Toc12895121"/>
      <w:r>
        <w:rPr>
          <w:rFonts w:hint="eastAsia" w:ascii="宋体" w:hAnsi="宋体" w:eastAsia="宋体" w:cs="宋体"/>
          <w:sz w:val="24"/>
          <w:szCs w:val="24"/>
          <w:lang w:val="en-US" w:eastAsia="zh-CN"/>
        </w:rPr>
        <w:t xml:space="preserve">13.2.1.1  </w:t>
      </w:r>
      <w:r>
        <w:rPr>
          <w:rFonts w:hint="eastAsia" w:ascii="宋体" w:hAnsi="宋体" w:eastAsia="宋体" w:cs="宋体"/>
          <w:sz w:val="24"/>
          <w:szCs w:val="24"/>
        </w:rPr>
        <w:t>采购等业务进项税额允许抵扣的账务处理。</w:t>
      </w:r>
      <w:bookmarkEnd w:id="26"/>
    </w:p>
    <w:p w14:paraId="2EA352B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13.2.1.1.1  </w:t>
      </w:r>
      <w:r>
        <w:rPr>
          <w:rFonts w:hint="eastAsia" w:ascii="宋体" w:hAnsi="宋体" w:eastAsia="宋体" w:cs="宋体"/>
          <w:sz w:val="24"/>
          <w:szCs w:val="24"/>
        </w:rPr>
        <w:t>一般纳税人购进货物、加工修理修配劳务、服务、无形资产或不动产，按应计入相关成本费用或资产的金额</w:t>
      </w:r>
    </w:p>
    <w:p w14:paraId="1D46645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在途物资”或“原材料”、“库存商品”、“生产成本”、“无形资产”、“固定资产”、“管理费用”等科目，按当月已认证的可抵扣增值税额，借记“应交税费——应交增值税（进项税额)”科目，按当月未认证的可抵扣增值税额，借记“应交税费——待认证进项税额”科目，按应付或实际支付的金额，贷记“应付账款”、“应付票据”、“银行存款”等科目。</w:t>
      </w:r>
    </w:p>
    <w:p w14:paraId="5543AB1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w:t>
      </w:r>
    </w:p>
    <w:p w14:paraId="4B3CC15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13.2.1.1.2  </w:t>
      </w:r>
      <w:r>
        <w:rPr>
          <w:rFonts w:hint="eastAsia" w:ascii="宋体" w:hAnsi="宋体" w:eastAsia="宋体" w:cs="宋体"/>
          <w:sz w:val="24"/>
          <w:szCs w:val="24"/>
        </w:rPr>
        <w:t>发生退货的，</w:t>
      </w:r>
    </w:p>
    <w:p w14:paraId="2A50C2E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如原增值税专用发票已做认证，应根据税务机关开具的红字增值税专用发票做相反的会计分录；如原增值税专用发票未做认证，应将发票退回并做相反的会计分录。</w:t>
      </w:r>
    </w:p>
    <w:p w14:paraId="00B54B9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w:t>
      </w:r>
    </w:p>
    <w:p w14:paraId="6A620F5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27" w:name="_Toc12895122"/>
      <w:r>
        <w:rPr>
          <w:rFonts w:hint="eastAsia" w:ascii="宋体" w:hAnsi="宋体" w:eastAsia="宋体" w:cs="宋体"/>
          <w:sz w:val="24"/>
          <w:szCs w:val="24"/>
          <w:lang w:val="en-US" w:eastAsia="zh-CN"/>
        </w:rPr>
        <w:t xml:space="preserve">13.2.1.2  </w:t>
      </w:r>
      <w:r>
        <w:rPr>
          <w:rFonts w:hint="eastAsia" w:ascii="宋体" w:hAnsi="宋体" w:eastAsia="宋体" w:cs="宋体"/>
          <w:sz w:val="24"/>
          <w:szCs w:val="24"/>
        </w:rPr>
        <w:t>采购等业务进项税额不得抵扣的账务处理</w:t>
      </w:r>
      <w:bookmarkEnd w:id="27"/>
    </w:p>
    <w:p w14:paraId="5E74E4F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一般纳税人购进货物、加工修理修配劳务、服务、无形资产或不动产，用于简易计税方法计税项目、免征增值税项目、集体福利或个人消费等，其进项税额按照现行增值税制度规定不得从销项税额中抵扣的</w:t>
      </w:r>
    </w:p>
    <w:p w14:paraId="22D7CA7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13.2.1.2.1  </w:t>
      </w:r>
      <w:r>
        <w:rPr>
          <w:rFonts w:hint="eastAsia" w:ascii="宋体" w:hAnsi="宋体" w:eastAsia="宋体" w:cs="宋体"/>
          <w:sz w:val="24"/>
          <w:szCs w:val="24"/>
        </w:rPr>
        <w:t>取得增值税专用发票时，</w:t>
      </w:r>
    </w:p>
    <w:p w14:paraId="07729E5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应借记相关成本费用或资产科目，借记“应交税费——待认证进项税额”科目，贷记“银行存款”、“应付账款”等科目，</w:t>
      </w:r>
    </w:p>
    <w:p w14:paraId="54BBF9D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w:t>
      </w:r>
    </w:p>
    <w:p w14:paraId="2A81587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13.2.1.2.2  </w:t>
      </w:r>
      <w:r>
        <w:rPr>
          <w:rFonts w:hint="eastAsia" w:ascii="宋体" w:hAnsi="宋体" w:eastAsia="宋体" w:cs="宋体"/>
          <w:sz w:val="24"/>
          <w:szCs w:val="24"/>
        </w:rPr>
        <w:t>经税务机关认证后，</w:t>
      </w:r>
    </w:p>
    <w:p w14:paraId="186A815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应借记相关成本费用或资产科目，贷记“应交税费——应交增值税（进项税额转出）”科目。</w:t>
      </w:r>
    </w:p>
    <w:p w14:paraId="4EE75D5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w:t>
      </w:r>
    </w:p>
    <w:p w14:paraId="4ACE342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i/>
          <w:iCs/>
          <w:sz w:val="24"/>
          <w:szCs w:val="24"/>
        </w:rPr>
      </w:pPr>
      <w:bookmarkStart w:id="28" w:name="_Toc12895123"/>
      <w:r>
        <w:rPr>
          <w:rFonts w:hint="eastAsia" w:ascii="宋体" w:hAnsi="宋体" w:eastAsia="宋体" w:cs="宋体"/>
          <w:sz w:val="24"/>
          <w:szCs w:val="24"/>
          <w:lang w:val="en-US" w:eastAsia="zh-CN"/>
        </w:rPr>
        <w:t xml:space="preserve">13.2.1.3  </w:t>
      </w:r>
      <w:r>
        <w:rPr>
          <w:rFonts w:hint="eastAsia" w:ascii="宋体" w:hAnsi="宋体" w:eastAsia="宋体" w:cs="宋体"/>
          <w:i/>
          <w:iCs/>
          <w:sz w:val="24"/>
          <w:szCs w:val="24"/>
        </w:rPr>
        <w:t>购进不动产或不动产在建工程按规定进项税额分年抵扣的账务处理</w:t>
      </w:r>
      <w:bookmarkEnd w:id="28"/>
    </w:p>
    <w:p w14:paraId="7F5FC6C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
          <w:color w:val="000000" w:themeColor="text1"/>
          <w:kern w:val="0"/>
          <w:sz w:val="24"/>
          <w:szCs w:val="24"/>
          <w14:textFill>
            <w14:solidFill>
              <w14:schemeClr w14:val="tx1"/>
            </w14:solidFill>
          </w14:textFill>
        </w:rPr>
      </w:pPr>
      <w:r>
        <w:rPr>
          <w:rFonts w:hint="eastAsia" w:ascii="宋体" w:hAnsi="宋体" w:eastAsia="宋体" w:cs="宋体"/>
          <w:i/>
          <w:color w:val="000000" w:themeColor="text1"/>
          <w:kern w:val="0"/>
          <w:sz w:val="24"/>
          <w:szCs w:val="24"/>
          <w14:textFill>
            <w14:solidFill>
              <w14:schemeClr w14:val="tx1"/>
            </w14:solidFill>
          </w14:textFill>
        </w:rPr>
        <w:t>1.一般纳税人自2016年5月1日后取得并按固定资产核算的不动产或者2016年5月1日后取得的不动产在建工程，其进项税额按现行增值税制度规定自取得之日起分2年从销项税额中抵扣的，应当按取得成本，</w:t>
      </w:r>
    </w:p>
    <w:p w14:paraId="2D9175E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
          <w:color w:val="000000" w:themeColor="text1"/>
          <w:kern w:val="0"/>
          <w:sz w:val="24"/>
          <w:szCs w:val="24"/>
          <w14:textFill>
            <w14:solidFill>
              <w14:schemeClr w14:val="tx1"/>
            </w14:solidFill>
          </w14:textFill>
        </w:rPr>
      </w:pPr>
      <w:r>
        <w:rPr>
          <w:rFonts w:hint="eastAsia" w:ascii="宋体" w:hAnsi="宋体" w:eastAsia="宋体" w:cs="宋体"/>
          <w:i/>
          <w:color w:val="000000" w:themeColor="text1"/>
          <w:kern w:val="0"/>
          <w:sz w:val="24"/>
          <w:szCs w:val="24"/>
          <w14:textFill>
            <w14:solidFill>
              <w14:schemeClr w14:val="tx1"/>
            </w14:solidFill>
          </w14:textFill>
        </w:rPr>
        <w:t>借记“固定资产”、“在建工程”等科目，按当期可抵扣的增值税额，借记“应交税费——应交增值税（进项税额）”科目，按以后期间可抵扣的增值税额，借记“应交税费——待抵扣进项税额”科目，按应付或实际支付的金额，贷记“应付账款”、“应付票据”、“银行存款”等科目。</w:t>
      </w:r>
    </w:p>
    <w:p w14:paraId="2222BD8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i/>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i/>
          <w:color w:val="000000" w:themeColor="text1"/>
          <w:sz w:val="24"/>
          <w:szCs w:val="24"/>
          <w:shd w:val="clear" w:color="auto" w:fill="FFFFFF"/>
          <w14:textFill>
            <w14:solidFill>
              <w14:schemeClr w14:val="tx1"/>
            </w14:solidFill>
          </w14:textFill>
        </w:rPr>
        <w:t>第二条第一款第三项</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30021DB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
          <w:color w:val="000000" w:themeColor="text1"/>
          <w:kern w:val="0"/>
          <w:sz w:val="24"/>
          <w:szCs w:val="24"/>
          <w14:textFill>
            <w14:solidFill>
              <w14:schemeClr w14:val="tx1"/>
            </w14:solidFill>
          </w14:textFill>
        </w:rPr>
      </w:pPr>
      <w:r>
        <w:rPr>
          <w:rFonts w:hint="eastAsia" w:ascii="宋体" w:hAnsi="宋体" w:eastAsia="宋体" w:cs="宋体"/>
          <w:i/>
          <w:color w:val="000000" w:themeColor="text1"/>
          <w:kern w:val="0"/>
          <w:sz w:val="24"/>
          <w:szCs w:val="24"/>
          <w14:textFill>
            <w14:solidFill>
              <w14:schemeClr w14:val="tx1"/>
            </w14:solidFill>
          </w14:textFill>
        </w:rPr>
        <w:t>2.尚未抵扣的进项税额待以后期间允许抵扣时，按允许抵扣的金额，</w:t>
      </w:r>
    </w:p>
    <w:p w14:paraId="247DC10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
          <w:color w:val="000000" w:themeColor="text1"/>
          <w:kern w:val="0"/>
          <w:sz w:val="24"/>
          <w:szCs w:val="24"/>
          <w14:textFill>
            <w14:solidFill>
              <w14:schemeClr w14:val="tx1"/>
            </w14:solidFill>
          </w14:textFill>
        </w:rPr>
      </w:pPr>
      <w:r>
        <w:rPr>
          <w:rFonts w:hint="eastAsia" w:ascii="宋体" w:hAnsi="宋体" w:eastAsia="宋体" w:cs="宋体"/>
          <w:i/>
          <w:color w:val="000000" w:themeColor="text1"/>
          <w:kern w:val="0"/>
          <w:sz w:val="24"/>
          <w:szCs w:val="24"/>
          <w14:textFill>
            <w14:solidFill>
              <w14:schemeClr w14:val="tx1"/>
            </w14:solidFill>
          </w14:textFill>
        </w:rPr>
        <w:t>借记“应交税费——应交增值税（进项税额）”科目，贷记“应交税费——待抵扣进项税额”科目。</w:t>
      </w:r>
    </w:p>
    <w:p w14:paraId="4F867E4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i/>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i/>
          <w:color w:val="000000" w:themeColor="text1"/>
          <w:sz w:val="24"/>
          <w:szCs w:val="24"/>
          <w:shd w:val="clear" w:color="auto" w:fill="FFFFFF"/>
          <w14:textFill>
            <w14:solidFill>
              <w14:schemeClr w14:val="tx1"/>
            </w14:solidFill>
          </w14:textFill>
        </w:rPr>
        <w:t>第二条第一款第三项</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A5B9D5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9" w:name="_Toc12895124"/>
      <w:r>
        <w:rPr>
          <w:rFonts w:hint="eastAsia" w:ascii="宋体" w:hAnsi="宋体" w:eastAsia="宋体" w:cs="宋体"/>
          <w:sz w:val="24"/>
          <w:szCs w:val="24"/>
          <w:lang w:val="en-US" w:eastAsia="zh-CN"/>
        </w:rPr>
        <w:t xml:space="preserve">13.2.1.4  </w:t>
      </w:r>
      <w:r>
        <w:rPr>
          <w:rFonts w:hint="eastAsia" w:ascii="宋体" w:hAnsi="宋体" w:eastAsia="宋体" w:cs="宋体"/>
          <w:sz w:val="24"/>
          <w:szCs w:val="24"/>
        </w:rPr>
        <w:t>货物等已验收入库但尚未取得增值税扣税凭证的账务处理。</w:t>
      </w:r>
      <w:bookmarkEnd w:id="29"/>
    </w:p>
    <w:p w14:paraId="378E8F0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购进的货物等已到达并验收入库，但尚未收到增值税扣税凭证并未付款的，应在月末按货物清单或相关合同协议上的价格暂估入账，不需要将增值税的进项税额暂估入账。下月初，用红字冲销原暂估入账金额，待取得相关增值税扣税凭证并经认证后，按应计入相关成本费用或资产的金额，借记“原材料”、“库存商品”、“固定资产”、“无形资产”等科目，按可抵扣的增值税额，借记“应交税费——应交增值税（进项税额）”科目，按应付金额，贷记“应付账款”等科目。</w:t>
      </w:r>
    </w:p>
    <w:p w14:paraId="42486E6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第二条第一款第四项）</w:t>
      </w:r>
    </w:p>
    <w:p w14:paraId="1E09A42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 w:name="_Toc12895125"/>
      <w:r>
        <w:rPr>
          <w:rFonts w:hint="eastAsia" w:ascii="宋体" w:hAnsi="宋体" w:eastAsia="宋体" w:cs="宋体"/>
          <w:sz w:val="24"/>
          <w:szCs w:val="24"/>
          <w:lang w:val="en-US" w:eastAsia="zh-CN"/>
        </w:rPr>
        <w:t xml:space="preserve">13.2.1.5  </w:t>
      </w:r>
      <w:r>
        <w:rPr>
          <w:rFonts w:hint="eastAsia" w:ascii="宋体" w:hAnsi="宋体" w:eastAsia="宋体" w:cs="宋体"/>
          <w:sz w:val="24"/>
          <w:szCs w:val="24"/>
        </w:rPr>
        <w:t>小规模纳税人采购等业务的账务处理。</w:t>
      </w:r>
      <w:bookmarkEnd w:id="30"/>
    </w:p>
    <w:p w14:paraId="3B784A9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小规模纳税人购买物资、服务、无形资产或不动产，取得增值税专用发票上注明的增值税应计入相关成本费用或资产，不通过“应交税费——应交增值税”科目核算。</w:t>
      </w:r>
    </w:p>
    <w:p w14:paraId="107205D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第二条第一款第五项）</w:t>
      </w:r>
    </w:p>
    <w:p w14:paraId="4DD07C4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 w:name="_Toc12895126"/>
      <w:r>
        <w:rPr>
          <w:rFonts w:hint="eastAsia" w:ascii="宋体" w:hAnsi="宋体" w:eastAsia="宋体" w:cs="宋体"/>
          <w:sz w:val="24"/>
          <w:szCs w:val="24"/>
          <w:lang w:val="en-US" w:eastAsia="zh-CN"/>
        </w:rPr>
        <w:t xml:space="preserve">13.2.1.6  </w:t>
      </w:r>
      <w:r>
        <w:rPr>
          <w:rFonts w:hint="eastAsia" w:ascii="宋体" w:hAnsi="宋体" w:eastAsia="宋体" w:cs="宋体"/>
          <w:sz w:val="24"/>
          <w:szCs w:val="24"/>
        </w:rPr>
        <w:t>购买方作为扣缴义务人的账务处理。</w:t>
      </w:r>
      <w:bookmarkEnd w:id="31"/>
    </w:p>
    <w:p w14:paraId="1C0F7FE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按照现行增值税制度规定，境外单位或个人在境内发生应税行为，在境内未设有经营机构的，以购买方为增值税扣缴义务人。</w:t>
      </w:r>
    </w:p>
    <w:p w14:paraId="4B28589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13.2.1.6.1  </w:t>
      </w:r>
      <w:r>
        <w:rPr>
          <w:rFonts w:hint="eastAsia" w:ascii="宋体" w:hAnsi="宋体" w:eastAsia="宋体" w:cs="宋体"/>
          <w:sz w:val="24"/>
          <w:szCs w:val="24"/>
        </w:rPr>
        <w:t>境内一般纳税人购进服务、无形资产或不动产，</w:t>
      </w:r>
    </w:p>
    <w:p w14:paraId="0278E98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应计入相关成本费用或资产的金额，借记“生产成本”、“无形资产”、“固定资产”、“管理费用”等科目，按可抵扣的增值税额，借记“应交税费——进项税额”科目（小规模纳税人应借记相关成本费用或资产科目），按应付或实际支付的金额，贷记“应付账款”等科目，按应代扣代缴的增值税额，贷记“应交税费——代扣代交增值税”科目。</w:t>
      </w:r>
    </w:p>
    <w:p w14:paraId="7F5048A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第二条第一款第六项）</w:t>
      </w:r>
    </w:p>
    <w:p w14:paraId="5AC1E859">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13.2.1.6.2  </w:t>
      </w:r>
      <w:r>
        <w:rPr>
          <w:rFonts w:hint="eastAsia" w:ascii="宋体" w:hAnsi="宋体" w:eastAsia="宋体" w:cs="宋体"/>
          <w:sz w:val="24"/>
          <w:szCs w:val="24"/>
        </w:rPr>
        <w:t>实际缴纳代扣代缴增值税时，</w:t>
      </w:r>
    </w:p>
    <w:p w14:paraId="2061FD4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按代扣代缴的增值税额，借记“应交税费——代扣代交增值税”科目，贷记“银行存款”科目。</w:t>
      </w:r>
    </w:p>
    <w:p w14:paraId="12D16DE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第二条第一款第六项）</w:t>
      </w:r>
    </w:p>
    <w:p w14:paraId="3EC67FB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32" w:name="_Toc12895127"/>
      <w:r>
        <w:rPr>
          <w:rFonts w:hint="eastAsia" w:ascii="宋体" w:hAnsi="宋体" w:eastAsia="宋体" w:cs="宋体"/>
          <w:sz w:val="24"/>
          <w:szCs w:val="24"/>
          <w:lang w:val="en-US" w:eastAsia="zh-CN"/>
        </w:rPr>
        <w:t xml:space="preserve">13.2.2  </w:t>
      </w:r>
      <w:r>
        <w:rPr>
          <w:rFonts w:hint="eastAsia" w:ascii="宋体" w:hAnsi="宋体" w:eastAsia="宋体" w:cs="宋体"/>
          <w:sz w:val="24"/>
          <w:szCs w:val="24"/>
        </w:rPr>
        <w:t>销售等业务的账务处理</w:t>
      </w:r>
      <w:bookmarkEnd w:id="3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6040</w:t>
      </w:r>
    </w:p>
    <w:p w14:paraId="7B6CB8A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 w:name="_Toc12895128"/>
      <w:r>
        <w:rPr>
          <w:rFonts w:hint="eastAsia" w:ascii="宋体" w:hAnsi="宋体" w:eastAsia="宋体" w:cs="宋体"/>
          <w:sz w:val="24"/>
          <w:szCs w:val="24"/>
          <w:lang w:val="en-US" w:eastAsia="zh-CN"/>
        </w:rPr>
        <w:t xml:space="preserve">13.2.2.1  </w:t>
      </w:r>
      <w:r>
        <w:rPr>
          <w:rFonts w:hint="eastAsia" w:ascii="宋体" w:hAnsi="宋体" w:eastAsia="宋体" w:cs="宋体"/>
          <w:sz w:val="24"/>
          <w:szCs w:val="24"/>
        </w:rPr>
        <w:t>销售业务的账务处理。</w:t>
      </w:r>
      <w:bookmarkEnd w:id="33"/>
    </w:p>
    <w:p w14:paraId="00A9D86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13.2.2.1.1  </w:t>
      </w:r>
      <w:r>
        <w:rPr>
          <w:rFonts w:hint="eastAsia" w:ascii="宋体" w:hAnsi="宋体" w:eastAsia="宋体" w:cs="宋体"/>
          <w:sz w:val="24"/>
          <w:szCs w:val="24"/>
        </w:rPr>
        <w:t>企业销售货物、加工修理修配劳务、服务、无形资产或不动产，</w:t>
      </w:r>
    </w:p>
    <w:p w14:paraId="28A099D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当按应收或已收的金额，借记“应收账款”、“应收票据”、“银行存款”等科目，按取得的收入金额，贷记“主营业务收入”、“其他业务收入”、“固定资产清理”、“工程结算”等科目，按现行增值税制度规定计算的销项税额（或采用简易计税方法计算的应纳增值税额），贷记“应交税费——应交增值税（销项税额)”或“应交税费——简易计税”科目（小规模纳税人应贷记“应交税费——应交增值税”科目）。</w:t>
      </w:r>
    </w:p>
    <w:p w14:paraId="505B444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第二条第二款第一项第一目）</w:t>
      </w:r>
    </w:p>
    <w:p w14:paraId="14109DF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13.2.2.1.2  </w:t>
      </w:r>
      <w:r>
        <w:rPr>
          <w:rFonts w:hint="eastAsia" w:ascii="宋体" w:hAnsi="宋体" w:eastAsia="宋体" w:cs="宋体"/>
          <w:sz w:val="24"/>
          <w:szCs w:val="24"/>
        </w:rPr>
        <w:t>发生销售退回的，</w:t>
      </w:r>
    </w:p>
    <w:p w14:paraId="3B0D87A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应根据按规定开具的红字增值税专用发票做相反的会计分录。</w:t>
      </w:r>
    </w:p>
    <w:p w14:paraId="21DEEEA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第二条第二款第一项第一目）</w:t>
      </w:r>
    </w:p>
    <w:p w14:paraId="42D3835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13.2.2.1.3  </w:t>
      </w:r>
      <w:r>
        <w:rPr>
          <w:rFonts w:hint="eastAsia" w:ascii="宋体" w:hAnsi="宋体" w:eastAsia="宋体" w:cs="宋体"/>
          <w:sz w:val="24"/>
          <w:szCs w:val="24"/>
        </w:rPr>
        <w:t>按照国家统一的会计制度确认收入或利得的时点早于按照增值税制度确认增值税纳税义务发生时点的，</w:t>
      </w:r>
    </w:p>
    <w:p w14:paraId="0F77683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应将相关销项税额计入“应交税费——待转销项税额”科目，待实际发生纳税义务时再转入“应交税费——应交增值税（销项税额)”或“应交税费——简易计税”科目。</w:t>
      </w:r>
    </w:p>
    <w:p w14:paraId="1A51D6E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第二条第二款第一项第二目）</w:t>
      </w:r>
    </w:p>
    <w:p w14:paraId="7D268C9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13.2.2.1.4  </w:t>
      </w:r>
      <w:r>
        <w:rPr>
          <w:rFonts w:hint="eastAsia" w:ascii="宋体" w:hAnsi="宋体" w:eastAsia="宋体" w:cs="宋体"/>
          <w:sz w:val="24"/>
          <w:szCs w:val="24"/>
        </w:rPr>
        <w:t>按照增值税制度确认增值税纳税义务发生时点早于按照国家统一的会计制度确认收入或利得的时点的，</w:t>
      </w:r>
    </w:p>
    <w:p w14:paraId="15C6A2F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将应纳增值税额，借记“应收账款”科目，贷记“应交税费——应交增值税（销项税额）”或“应交税费——简易计税”科目，按照国家统一的会计制度确认收入或利得时，应按扣除增值税销项税额后的金额确认收入。</w:t>
      </w:r>
    </w:p>
    <w:p w14:paraId="1B43E81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第二条第二款第一项第三目）</w:t>
      </w:r>
    </w:p>
    <w:p w14:paraId="296C017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 w:name="_Toc12895129"/>
      <w:r>
        <w:rPr>
          <w:rFonts w:hint="eastAsia" w:ascii="宋体" w:hAnsi="宋体" w:eastAsia="宋体" w:cs="宋体"/>
          <w:sz w:val="24"/>
          <w:szCs w:val="24"/>
          <w:lang w:val="en-US" w:eastAsia="zh-CN"/>
        </w:rPr>
        <w:t xml:space="preserve">13.2.2.2  </w:t>
      </w:r>
      <w:r>
        <w:rPr>
          <w:rFonts w:hint="eastAsia" w:ascii="宋体" w:hAnsi="宋体" w:eastAsia="宋体" w:cs="宋体"/>
          <w:sz w:val="24"/>
          <w:szCs w:val="24"/>
        </w:rPr>
        <w:t>视同销售的账务处理。</w:t>
      </w:r>
      <w:bookmarkEnd w:id="34"/>
    </w:p>
    <w:p w14:paraId="2C913E1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发生税法上视同销售的行为，应当按照企业会计准则制度相关规定进行相应的会计处理，并按照现行增值税制度规定计算的销项税额（或采用简易计税方法计算的应纳增值税额），借记“应付职工薪酬”、“利润分配”等科目，贷记“应交税费——应交增值税（销项税额）”或“应交税费——简易计税”科目（小规模纳税人应计入“应交税费——应交增值税”科目）。</w:t>
      </w:r>
    </w:p>
    <w:p w14:paraId="0C68984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第二条第二款第二项）</w:t>
      </w:r>
    </w:p>
    <w:p w14:paraId="22EB3A1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 w:name="_Toc12895130"/>
      <w:r>
        <w:rPr>
          <w:rFonts w:hint="eastAsia" w:ascii="宋体" w:hAnsi="宋体" w:eastAsia="宋体" w:cs="宋体"/>
          <w:sz w:val="24"/>
          <w:szCs w:val="24"/>
          <w:lang w:val="en-US" w:eastAsia="zh-CN"/>
        </w:rPr>
        <w:t xml:space="preserve">13.2.2.3  </w:t>
      </w:r>
      <w:r>
        <w:rPr>
          <w:rFonts w:hint="eastAsia" w:ascii="宋体" w:hAnsi="宋体" w:eastAsia="宋体" w:cs="宋体"/>
          <w:sz w:val="24"/>
          <w:szCs w:val="24"/>
        </w:rPr>
        <w:t>全面试行营业税改征增值税前已确认收入，此后产生增值税纳税义务的账务处理。</w:t>
      </w:r>
      <w:bookmarkEnd w:id="35"/>
    </w:p>
    <w:p w14:paraId="3B15041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13.2.2.3.1  </w:t>
      </w:r>
      <w:r>
        <w:rPr>
          <w:rFonts w:hint="eastAsia" w:ascii="宋体" w:hAnsi="宋体" w:eastAsia="宋体" w:cs="宋体"/>
          <w:sz w:val="24"/>
          <w:szCs w:val="24"/>
        </w:rPr>
        <w:t>企业营业税改征增值税前已确认收入，但因未产生营业税纳税义务而未计提营业税的，在达到增值税纳税义务时点时，</w:t>
      </w:r>
    </w:p>
    <w:p w14:paraId="6EA5D56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企业应在确认应交增值税销项税额的同时冲减当期收入；</w:t>
      </w:r>
    </w:p>
    <w:p w14:paraId="4330BF1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第二条第二款第三项第一目）</w:t>
      </w:r>
    </w:p>
    <w:p w14:paraId="238F144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13.2.2.3.2  </w:t>
      </w:r>
      <w:r>
        <w:rPr>
          <w:rFonts w:hint="eastAsia" w:ascii="宋体" w:hAnsi="宋体" w:eastAsia="宋体" w:cs="宋体"/>
          <w:sz w:val="24"/>
          <w:szCs w:val="24"/>
        </w:rPr>
        <w:t>已经计提营业税且未缴纳的，在达到增值税纳税义务时点时，</w:t>
      </w:r>
    </w:p>
    <w:p w14:paraId="0DA13A8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借记“应交税费——应交营业税”、“应交税费——应交城市维护建设税”、“应交税费——应交教育费附加”等科目，贷记“主营业务收入”科目，并根据调整后的收入计算确定计入“应交税费——待转销项税额”科目的金额,同时冲减收入。</w:t>
      </w:r>
    </w:p>
    <w:p w14:paraId="729EA67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 w:name="_Hlk928089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第二条第二款第三项第一目）</w:t>
      </w:r>
    </w:p>
    <w:bookmarkEnd w:id="36"/>
    <w:p w14:paraId="1711929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 w:name="_Toc12895131"/>
      <w:r>
        <w:rPr>
          <w:rFonts w:hint="eastAsia" w:ascii="宋体" w:hAnsi="宋体" w:eastAsia="宋体" w:cs="宋体"/>
          <w:sz w:val="24"/>
          <w:szCs w:val="24"/>
          <w:lang w:val="en-US" w:eastAsia="zh-CN"/>
        </w:rPr>
        <w:t xml:space="preserve">13.2.2.4  </w:t>
      </w:r>
      <w:r>
        <w:rPr>
          <w:rFonts w:hint="eastAsia" w:ascii="宋体" w:hAnsi="宋体" w:eastAsia="宋体" w:cs="宋体"/>
          <w:sz w:val="24"/>
          <w:szCs w:val="24"/>
        </w:rPr>
        <w:t>全面试行营业税改征增值税后，“营业税金及附加”科目名称调整为“税金及附加”科目，</w:t>
      </w:r>
      <w:bookmarkEnd w:id="37"/>
    </w:p>
    <w:p w14:paraId="0498AFE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该科目核算企业经营活动发生的消费税、城市维护建设税、资源税、教育费附加及房产税、土地使用税、车船使用税、印花税等相关税费；利润表中的“营业税金及附加”项目调整为“税金及附加”项目。</w:t>
      </w:r>
    </w:p>
    <w:p w14:paraId="588C2F8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第二条第二款第三项第二目）</w:t>
      </w:r>
    </w:p>
    <w:p w14:paraId="100E9A2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38" w:name="_Toc12895132"/>
      <w:r>
        <w:rPr>
          <w:rFonts w:hint="eastAsia" w:ascii="宋体" w:hAnsi="宋体" w:eastAsia="宋体" w:cs="宋体"/>
          <w:sz w:val="24"/>
          <w:szCs w:val="24"/>
          <w:lang w:val="en-US" w:eastAsia="zh-CN"/>
        </w:rPr>
        <w:t xml:space="preserve">13.2.3  </w:t>
      </w:r>
      <w:r>
        <w:rPr>
          <w:rFonts w:hint="eastAsia" w:ascii="宋体" w:hAnsi="宋体" w:eastAsia="宋体" w:cs="宋体"/>
          <w:sz w:val="24"/>
          <w:szCs w:val="24"/>
        </w:rPr>
        <w:t>差额征税的账务处理</w:t>
      </w:r>
      <w:bookmarkEnd w:id="38"/>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6050</w:t>
      </w:r>
    </w:p>
    <w:p w14:paraId="785A2B5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9" w:name="_Toc12895133"/>
      <w:r>
        <w:rPr>
          <w:rFonts w:hint="eastAsia" w:ascii="宋体" w:hAnsi="宋体" w:eastAsia="宋体" w:cs="宋体"/>
          <w:sz w:val="24"/>
          <w:szCs w:val="24"/>
          <w:lang w:val="en-US" w:eastAsia="zh-CN"/>
        </w:rPr>
        <w:t xml:space="preserve">13.2.3.1  </w:t>
      </w:r>
      <w:r>
        <w:rPr>
          <w:rFonts w:hint="eastAsia" w:ascii="宋体" w:hAnsi="宋体" w:eastAsia="宋体" w:cs="宋体"/>
          <w:sz w:val="24"/>
          <w:szCs w:val="24"/>
        </w:rPr>
        <w:t>企业发生相关成本费用允许扣减销售额的账务处理。</w:t>
      </w:r>
      <w:bookmarkEnd w:id="39"/>
    </w:p>
    <w:p w14:paraId="22EFE44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13.2.3.1.1  </w:t>
      </w:r>
      <w:r>
        <w:rPr>
          <w:rFonts w:hint="eastAsia" w:ascii="宋体" w:hAnsi="宋体" w:eastAsia="宋体" w:cs="宋体"/>
          <w:sz w:val="24"/>
          <w:szCs w:val="24"/>
        </w:rPr>
        <w:t>按现行增值税制度规定企业发生相关成本费用允许扣减销售额的，发生成本费用时，</w:t>
      </w:r>
    </w:p>
    <w:p w14:paraId="71E5D41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按应付或实际支付的金额，借记“主营业务成本”、“存货”、“工程施工”等科目，贷记“应付账款”、“应付票据”、“银行存款”等科目。</w:t>
      </w:r>
    </w:p>
    <w:p w14:paraId="2F73094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第二条第三款第一项）</w:t>
      </w:r>
    </w:p>
    <w:p w14:paraId="1F372B9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13.2.3.1.2  </w:t>
      </w:r>
      <w:r>
        <w:rPr>
          <w:rFonts w:hint="eastAsia" w:ascii="宋体" w:hAnsi="宋体" w:eastAsia="宋体" w:cs="宋体"/>
          <w:sz w:val="24"/>
          <w:szCs w:val="24"/>
        </w:rPr>
        <w:t>待取得合规增值税扣税凭证且纳税义务发生时，</w:t>
      </w:r>
    </w:p>
    <w:p w14:paraId="27E5934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允许抵扣的税额，借记“应交税费——应交增值税（销项税额抵减）”或“应交税费——简易计税”科目（小规模纳税人应借记“应交税费——应交增值税”科目），贷记“主营业务成本”、“存货”、“工程施工”等科目。</w:t>
      </w:r>
    </w:p>
    <w:p w14:paraId="7DEA030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第二条第三款第一项）</w:t>
      </w:r>
    </w:p>
    <w:p w14:paraId="306B5A3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0" w:name="_Toc12895134"/>
      <w:r>
        <w:rPr>
          <w:rFonts w:hint="eastAsia" w:ascii="宋体" w:hAnsi="宋体" w:eastAsia="宋体" w:cs="宋体"/>
          <w:sz w:val="24"/>
          <w:szCs w:val="24"/>
          <w:lang w:val="en-US" w:eastAsia="zh-CN"/>
        </w:rPr>
        <w:t xml:space="preserve">13.2.3.2  </w:t>
      </w:r>
      <w:r>
        <w:rPr>
          <w:rFonts w:hint="eastAsia" w:ascii="宋体" w:hAnsi="宋体" w:eastAsia="宋体" w:cs="宋体"/>
          <w:sz w:val="24"/>
          <w:szCs w:val="24"/>
        </w:rPr>
        <w:t>金融商品转让按规定以盈亏相抵后的余额作为销售额的账务处理。</w:t>
      </w:r>
      <w:bookmarkEnd w:id="40"/>
    </w:p>
    <w:p w14:paraId="77AC132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13.2.3.2.1  </w:t>
      </w:r>
      <w:r>
        <w:rPr>
          <w:rFonts w:hint="eastAsia" w:ascii="宋体" w:hAnsi="宋体" w:eastAsia="宋体" w:cs="宋体"/>
          <w:sz w:val="24"/>
          <w:szCs w:val="24"/>
        </w:rPr>
        <w:t>金融商品实际转让月末，如产生转让收益，</w:t>
      </w:r>
    </w:p>
    <w:p w14:paraId="746C374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则按应纳税额借记“投资收益”等科目，贷记“应交税费——转让金融商品应交增值税”科目；</w:t>
      </w:r>
    </w:p>
    <w:p w14:paraId="4C09FB1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第二条第三款第二项）</w:t>
      </w:r>
    </w:p>
    <w:p w14:paraId="5FFB249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13.2.3.2.2  </w:t>
      </w:r>
      <w:r>
        <w:rPr>
          <w:rFonts w:hint="eastAsia" w:ascii="宋体" w:hAnsi="宋体" w:eastAsia="宋体" w:cs="宋体"/>
          <w:sz w:val="24"/>
          <w:szCs w:val="24"/>
        </w:rPr>
        <w:t>如产生转让损失，</w:t>
      </w:r>
    </w:p>
    <w:p w14:paraId="26F4D47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则按可结转下月抵扣税额，借记“应交税费——转让金融商品应交增值税”科目，贷记“投资收益”等科目。</w:t>
      </w:r>
    </w:p>
    <w:p w14:paraId="4F32AFE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第二条第三款第二项）</w:t>
      </w:r>
    </w:p>
    <w:p w14:paraId="7992705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13.2.3.2.3  </w:t>
      </w:r>
      <w:r>
        <w:rPr>
          <w:rFonts w:hint="eastAsia" w:ascii="宋体" w:hAnsi="宋体" w:eastAsia="宋体" w:cs="宋体"/>
          <w:sz w:val="24"/>
          <w:szCs w:val="24"/>
        </w:rPr>
        <w:t>交纳增值税时，</w:t>
      </w:r>
    </w:p>
    <w:p w14:paraId="25C010D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应借记“应交税费——转让金融商品应交增值税”科目，贷记“银行存款”科目。</w:t>
      </w:r>
    </w:p>
    <w:p w14:paraId="07E74DA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第二条第三款第二项）</w:t>
      </w:r>
    </w:p>
    <w:p w14:paraId="3F265BC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13.2.3.2.4  </w:t>
      </w:r>
      <w:r>
        <w:rPr>
          <w:rFonts w:hint="eastAsia" w:ascii="宋体" w:hAnsi="宋体" w:eastAsia="宋体" w:cs="宋体"/>
          <w:sz w:val="24"/>
          <w:szCs w:val="24"/>
        </w:rPr>
        <w:t>年末，</w:t>
      </w:r>
    </w:p>
    <w:p w14:paraId="6BBB274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本科目如有借方余额，则借记“投资收益”等科目，贷记“应交税费——转让金融商品应交增值税”科目。</w:t>
      </w:r>
    </w:p>
    <w:p w14:paraId="7D18252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1" w:name="_Hlk928412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第二条第三款第二项）</w:t>
      </w:r>
    </w:p>
    <w:bookmarkEnd w:id="41"/>
    <w:p w14:paraId="7474CE68">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42" w:name="_Toc12895135"/>
      <w:r>
        <w:rPr>
          <w:rFonts w:hint="eastAsia" w:ascii="宋体" w:hAnsi="宋体" w:eastAsia="宋体" w:cs="宋体"/>
          <w:sz w:val="24"/>
          <w:szCs w:val="24"/>
          <w:lang w:val="en-US" w:eastAsia="zh-CN"/>
        </w:rPr>
        <w:t xml:space="preserve">13.2.4  </w:t>
      </w:r>
      <w:r>
        <w:rPr>
          <w:rFonts w:hint="eastAsia" w:ascii="宋体" w:hAnsi="宋体" w:eastAsia="宋体" w:cs="宋体"/>
          <w:sz w:val="24"/>
          <w:szCs w:val="24"/>
        </w:rPr>
        <w:t>出口退税的账务处理</w:t>
      </w:r>
      <w:bookmarkEnd w:id="4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6060</w:t>
      </w:r>
    </w:p>
    <w:p w14:paraId="1A48FB8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核算纳税人出口货物应收取的出口退税款，设置“应收出口退税款”科目，该科目借方反映销售出口货物按规定向税务机关申报应退回的增值税、消费税等，贷方反映实际收到的出口货物应退回的增值税、消费税等。期末借方余额，反映尚未收到的应退税额。</w:t>
      </w:r>
    </w:p>
    <w:p w14:paraId="24181E0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3" w:name="_Toc12895136"/>
      <w:r>
        <w:rPr>
          <w:rFonts w:hint="eastAsia" w:ascii="宋体" w:hAnsi="宋体" w:eastAsia="宋体" w:cs="宋体"/>
          <w:sz w:val="24"/>
          <w:szCs w:val="24"/>
          <w:lang w:val="en-US" w:eastAsia="zh-CN"/>
        </w:rPr>
        <w:t xml:space="preserve">13.2.4.1  </w:t>
      </w:r>
      <w:r>
        <w:rPr>
          <w:rFonts w:hint="eastAsia" w:ascii="宋体" w:hAnsi="宋体" w:eastAsia="宋体" w:cs="宋体"/>
          <w:sz w:val="24"/>
          <w:szCs w:val="24"/>
        </w:rPr>
        <w:t>未实行“免、抵、退”办法的一般纳税人出口货物按规定退税的，</w:t>
      </w:r>
      <w:bookmarkEnd w:id="43"/>
    </w:p>
    <w:p w14:paraId="432F350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13.2.4.1.1  </w:t>
      </w:r>
      <w:r>
        <w:rPr>
          <w:rFonts w:hint="eastAsia" w:ascii="宋体" w:hAnsi="宋体" w:eastAsia="宋体" w:cs="宋体"/>
          <w:sz w:val="24"/>
          <w:szCs w:val="24"/>
        </w:rPr>
        <w:t>按规定计算的应收出口退税额，</w:t>
      </w:r>
    </w:p>
    <w:p w14:paraId="5A39DCA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借记“应收出口退税款”科目，贷记“应交税费——应交增值税（出口退税）”科目，</w:t>
      </w:r>
    </w:p>
    <w:p w14:paraId="736E9A5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第二条第四款第一项）</w:t>
      </w:r>
    </w:p>
    <w:p w14:paraId="5D8EE36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13.2.4.1.2  </w:t>
      </w:r>
      <w:r>
        <w:rPr>
          <w:rFonts w:hint="eastAsia" w:ascii="宋体" w:hAnsi="宋体" w:eastAsia="宋体" w:cs="宋体"/>
          <w:sz w:val="24"/>
          <w:szCs w:val="24"/>
        </w:rPr>
        <w:t>收到出口退税时，</w:t>
      </w:r>
    </w:p>
    <w:p w14:paraId="6A0D439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借记“银行存款”科目，贷记“应收出口退税款”科目；</w:t>
      </w:r>
    </w:p>
    <w:p w14:paraId="227B4C4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第二条第四款第一项）</w:t>
      </w:r>
    </w:p>
    <w:p w14:paraId="6726325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13.2.4.1.3  </w:t>
      </w:r>
      <w:r>
        <w:rPr>
          <w:rFonts w:hint="eastAsia" w:ascii="宋体" w:hAnsi="宋体" w:eastAsia="宋体" w:cs="宋体"/>
          <w:sz w:val="24"/>
          <w:szCs w:val="24"/>
        </w:rPr>
        <w:t>退税额低于购进时取得的增值税专用发票上的增值税额的差额，</w:t>
      </w:r>
    </w:p>
    <w:p w14:paraId="1491D80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借记“主营业务成本”科目，贷记“应交税费——应交增值税（进项税额转出）”科目。</w:t>
      </w:r>
    </w:p>
    <w:p w14:paraId="7597DA9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4" w:name="_Hlk928391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第二条第四款第一项）</w:t>
      </w:r>
    </w:p>
    <w:bookmarkEnd w:id="44"/>
    <w:p w14:paraId="240959C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5" w:name="_Toc12895137"/>
      <w:r>
        <w:rPr>
          <w:rFonts w:hint="eastAsia" w:ascii="宋体" w:hAnsi="宋体" w:eastAsia="宋体" w:cs="宋体"/>
          <w:sz w:val="24"/>
          <w:szCs w:val="24"/>
          <w:lang w:val="en-US" w:eastAsia="zh-CN"/>
        </w:rPr>
        <w:t xml:space="preserve">13.2.4.2  </w:t>
      </w:r>
      <w:r>
        <w:rPr>
          <w:rFonts w:hint="eastAsia" w:ascii="宋体" w:hAnsi="宋体" w:eastAsia="宋体" w:cs="宋体"/>
          <w:sz w:val="24"/>
          <w:szCs w:val="24"/>
        </w:rPr>
        <w:t>实行“免、抵、退”办法的一般纳税人出口货物</w:t>
      </w:r>
      <w:bookmarkEnd w:id="45"/>
    </w:p>
    <w:p w14:paraId="4A15ACC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13.2.4.2.1  </w:t>
      </w:r>
      <w:r>
        <w:rPr>
          <w:rFonts w:hint="eastAsia" w:ascii="宋体" w:hAnsi="宋体" w:eastAsia="宋体" w:cs="宋体"/>
          <w:sz w:val="24"/>
          <w:szCs w:val="24"/>
        </w:rPr>
        <w:t>在货物出口销售后结转产品销售成本时，</w:t>
      </w:r>
    </w:p>
    <w:p w14:paraId="4F9166F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按规定计算的退税额低于购进时取得的增值税专用发票上的增值税额的差额，借记“主营业务成本”科目，贷记“应交税费——应交增值税（进项税额转出）”科目；</w:t>
      </w:r>
    </w:p>
    <w:p w14:paraId="6C52723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第二条第四款第二项）</w:t>
      </w:r>
    </w:p>
    <w:p w14:paraId="6315F8F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13.2.4.2.2  </w:t>
      </w:r>
      <w:r>
        <w:rPr>
          <w:rFonts w:hint="eastAsia" w:ascii="宋体" w:hAnsi="宋体" w:eastAsia="宋体" w:cs="宋体"/>
          <w:sz w:val="24"/>
          <w:szCs w:val="24"/>
        </w:rPr>
        <w:t>按规定计算的当期出口货物的进项税抵减内销产品的应纳税额，</w:t>
      </w:r>
    </w:p>
    <w:p w14:paraId="3072151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借记“应交税费——应交增值税（出口抵减内销产品应纳税额）”科目，贷记“应交税费——应交增值税（出口退税）”科目。</w:t>
      </w:r>
    </w:p>
    <w:p w14:paraId="3424570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第二条第四款第二项）</w:t>
      </w:r>
    </w:p>
    <w:p w14:paraId="4F3A82C9">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13.2.4.2.3  </w:t>
      </w:r>
      <w:r>
        <w:rPr>
          <w:rFonts w:hint="eastAsia" w:ascii="宋体" w:hAnsi="宋体" w:eastAsia="宋体" w:cs="宋体"/>
          <w:sz w:val="24"/>
          <w:szCs w:val="24"/>
        </w:rPr>
        <w:t>在规定期限内，内销产品的应纳税额不足以抵减出口货物的进项税额，不足部分按有关税法规定给予退税的，应在实际收到退税款时，</w:t>
      </w:r>
    </w:p>
    <w:p w14:paraId="4D3C8BB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借记“银行存款”科目，贷记“应交税费——应交增值税（出口退税）”科目。</w:t>
      </w:r>
    </w:p>
    <w:p w14:paraId="26825EC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第二条第四款第二项）</w:t>
      </w:r>
    </w:p>
    <w:p w14:paraId="0C5F3EB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46" w:name="_Toc12895138"/>
      <w:r>
        <w:rPr>
          <w:rFonts w:hint="eastAsia" w:ascii="宋体" w:hAnsi="宋体" w:eastAsia="宋体" w:cs="宋体"/>
          <w:sz w:val="24"/>
          <w:szCs w:val="24"/>
          <w:lang w:val="en-US" w:eastAsia="zh-CN"/>
        </w:rPr>
        <w:t xml:space="preserve">13.2.5  </w:t>
      </w:r>
      <w:r>
        <w:rPr>
          <w:rFonts w:hint="eastAsia" w:ascii="宋体" w:hAnsi="宋体" w:eastAsia="宋体" w:cs="宋体"/>
          <w:sz w:val="24"/>
          <w:szCs w:val="24"/>
        </w:rPr>
        <w:t>进项税额抵扣情况发生改变的账务处理</w:t>
      </w:r>
      <w:bookmarkEnd w:id="46"/>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6070</w:t>
      </w:r>
    </w:p>
    <w:p w14:paraId="1E41D4D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13.2.5.1  </w:t>
      </w:r>
      <w:r>
        <w:rPr>
          <w:rFonts w:hint="eastAsia" w:ascii="宋体" w:hAnsi="宋体" w:eastAsia="宋体" w:cs="宋体"/>
          <w:sz w:val="24"/>
          <w:szCs w:val="24"/>
        </w:rPr>
        <w:t>因发生非正常损失或改变用途等，原已计入进项税额、待抵扣进项税额或待认证进项税额，但按现行增值税制度规定不得从销项税额中抵扣的，</w:t>
      </w:r>
    </w:p>
    <w:p w14:paraId="254868D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待处理财产损溢”、“应付职工薪酬”、“固定资产”、“无形资产”等科目，贷记“应交税费——应交增值税（进项税额转出)”、“应交税费——待抵扣进项税额”或“应交税费——待认证进项税额”科目；</w:t>
      </w:r>
    </w:p>
    <w:p w14:paraId="5184E1E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第二条第五款第一项）</w:t>
      </w:r>
    </w:p>
    <w:p w14:paraId="25787BB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13.2.5.2  </w:t>
      </w:r>
      <w:r>
        <w:rPr>
          <w:rFonts w:hint="eastAsia" w:ascii="宋体" w:hAnsi="宋体" w:eastAsia="宋体" w:cs="宋体"/>
          <w:sz w:val="24"/>
          <w:szCs w:val="24"/>
        </w:rPr>
        <w:t>原不得抵扣且未抵扣进项税额的固定资产、无形资产等，因改变用途等用于允许抵扣进项税额的应税项目的，</w:t>
      </w:r>
    </w:p>
    <w:p w14:paraId="4549006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应按允许抵扣的进项税额，借记“应交税费——应交增值税（进项税额)”科目，贷记“固定资产”、“无形资产”等科目。</w:t>
      </w:r>
    </w:p>
    <w:p w14:paraId="7869DDE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固定资产、无形资产等经上述调整后，应按调整后的账面价值在剩余尚可使用寿命内计提折旧或摊销。</w:t>
      </w:r>
    </w:p>
    <w:p w14:paraId="41B5514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7" w:name="_Hlk928097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第二条第五款第一项）</w:t>
      </w:r>
    </w:p>
    <w:bookmarkEnd w:id="47"/>
    <w:p w14:paraId="4D648B8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13.2.5.3  </w:t>
      </w:r>
      <w:r>
        <w:rPr>
          <w:rFonts w:hint="eastAsia" w:ascii="宋体" w:hAnsi="宋体" w:eastAsia="宋体" w:cs="宋体"/>
          <w:sz w:val="24"/>
          <w:szCs w:val="24"/>
        </w:rPr>
        <w:t>一般纳税人购进时已全额计提进项税额的货物或服务等转用于不动产在建工程的，</w:t>
      </w:r>
    </w:p>
    <w:p w14:paraId="6926C32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对于结转以后期间的进项税额，应借记“应交税费——待抵扣进项税额”科目，贷记“应交税费——应交增值税（进项税额转出）”科目。</w:t>
      </w:r>
    </w:p>
    <w:p w14:paraId="57D7DB7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第二条第五款第二项）</w:t>
      </w:r>
    </w:p>
    <w:p w14:paraId="285F8A94">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48" w:name="_Toc12895139"/>
      <w:r>
        <w:rPr>
          <w:rFonts w:hint="eastAsia" w:ascii="宋体" w:hAnsi="宋体" w:eastAsia="宋体" w:cs="宋体"/>
          <w:sz w:val="24"/>
          <w:szCs w:val="24"/>
          <w:lang w:val="en-US" w:eastAsia="zh-CN"/>
        </w:rPr>
        <w:t xml:space="preserve">13.2.6  </w:t>
      </w:r>
      <w:r>
        <w:rPr>
          <w:rFonts w:hint="eastAsia" w:ascii="宋体" w:hAnsi="宋体" w:eastAsia="宋体" w:cs="宋体"/>
          <w:sz w:val="24"/>
          <w:szCs w:val="24"/>
        </w:rPr>
        <w:t>月末转出多交增值税和未交增值税的账务处理</w:t>
      </w:r>
      <w:bookmarkEnd w:id="48"/>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6080</w:t>
      </w:r>
    </w:p>
    <w:p w14:paraId="08878F4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月度终了，企业应当将当月应交未交或多交的增值税自“应交增值税”明细科目转入“未交增值税”明细科目。</w:t>
      </w:r>
    </w:p>
    <w:p w14:paraId="43A1634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13.2.6.1  </w:t>
      </w:r>
      <w:r>
        <w:rPr>
          <w:rFonts w:hint="eastAsia" w:ascii="宋体" w:hAnsi="宋体" w:eastAsia="宋体" w:cs="宋体"/>
          <w:sz w:val="24"/>
          <w:szCs w:val="24"/>
        </w:rPr>
        <w:t>对于当月应交未交的增值税，</w:t>
      </w:r>
    </w:p>
    <w:p w14:paraId="72541D5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借记“应交税费——应交增值税（转出未交增值税）”科目，贷记“应交税费——未交增值税”科目；</w:t>
      </w:r>
    </w:p>
    <w:p w14:paraId="49BE0B3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第二条第六款）</w:t>
      </w:r>
    </w:p>
    <w:p w14:paraId="63C820D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13.2.6.2  </w:t>
      </w:r>
      <w:r>
        <w:rPr>
          <w:rFonts w:hint="eastAsia" w:ascii="宋体" w:hAnsi="宋体" w:eastAsia="宋体" w:cs="宋体"/>
          <w:sz w:val="24"/>
          <w:szCs w:val="24"/>
        </w:rPr>
        <w:t>对于当月多交的增值税，</w:t>
      </w:r>
    </w:p>
    <w:p w14:paraId="266D918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借记“应交税费——未交增值税”科目，贷记“应交税费——应交增值税（转出多交增值税）”科目。</w:t>
      </w:r>
    </w:p>
    <w:p w14:paraId="286CB27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第二条第六款）</w:t>
      </w:r>
    </w:p>
    <w:p w14:paraId="29D50C1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49" w:name="_Toc12895140"/>
      <w:r>
        <w:rPr>
          <w:rFonts w:hint="eastAsia" w:ascii="宋体" w:hAnsi="宋体" w:eastAsia="宋体" w:cs="宋体"/>
          <w:sz w:val="24"/>
          <w:szCs w:val="24"/>
          <w:lang w:val="en-US" w:eastAsia="zh-CN"/>
        </w:rPr>
        <w:t xml:space="preserve">13.2.7  </w:t>
      </w:r>
      <w:r>
        <w:rPr>
          <w:rFonts w:hint="eastAsia" w:ascii="宋体" w:hAnsi="宋体" w:eastAsia="宋体" w:cs="宋体"/>
          <w:sz w:val="24"/>
          <w:szCs w:val="24"/>
        </w:rPr>
        <w:t>加计抵减的会计处理</w:t>
      </w:r>
      <w:bookmarkEnd w:id="49"/>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6090</w:t>
      </w:r>
    </w:p>
    <w:p w14:paraId="27A9D4C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关于《关于深化增值税改革有关政策的公告》适用《增值税会计处理规定》有关问题的解读：</w:t>
      </w:r>
    </w:p>
    <w:p w14:paraId="4AEBB010">
      <w:pPr>
        <w:pStyle w:val="9"/>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近期，我部、税务总局和海关总署印发了《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"http://www.shui5.cn/article/50/126363.html" </w:instrText>
      </w:r>
      <w:r>
        <w:rPr>
          <w:rFonts w:hint="eastAsia" w:ascii="宋体" w:hAnsi="宋体" w:eastAsia="宋体" w:cs="宋体"/>
          <w:sz w:val="24"/>
          <w:szCs w:val="24"/>
        </w:rPr>
        <w:fldChar w:fldCharType="separate"/>
      </w:r>
      <w:r>
        <w:rPr>
          <w:rStyle w:val="12"/>
          <w:rFonts w:hint="eastAsia" w:ascii="宋体" w:hAnsi="宋体" w:eastAsia="宋体" w:cs="宋体"/>
          <w:color w:val="000000" w:themeColor="text1"/>
          <w:sz w:val="24"/>
          <w:szCs w:val="24"/>
          <w14:textFill>
            <w14:solidFill>
              <w14:schemeClr w14:val="tx1"/>
            </w14:solidFill>
          </w14:textFill>
        </w:rPr>
        <w:t>关于深化增值税改革有关政策的公告</w:t>
      </w:r>
      <w:r>
        <w:rPr>
          <w:rStyle w:val="12"/>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"file:///E:\\学习\\税收\\税法地图\\税收法规汇编（按税种分类）\\财政部%20税务总局%20海关总署公告2019年第39号——关于深化增值税改革有关政策的公告.docx" </w:instrText>
      </w:r>
      <w:r>
        <w:rPr>
          <w:rFonts w:hint="eastAsia" w:ascii="宋体" w:hAnsi="宋体" w:eastAsia="宋体" w:cs="宋体"/>
          <w:sz w:val="24"/>
          <w:szCs w:val="24"/>
        </w:rPr>
        <w:fldChar w:fldCharType="separate"/>
      </w:r>
      <w:r>
        <w:rPr>
          <w:rStyle w:val="12"/>
          <w:rFonts w:hint="eastAsia" w:ascii="宋体" w:hAnsi="宋体" w:eastAsia="宋体" w:cs="宋体"/>
          <w:color w:val="000000" w:themeColor="text1"/>
          <w:sz w:val="24"/>
          <w:szCs w:val="24"/>
          <w14:textFill>
            <w14:solidFill>
              <w14:schemeClr w14:val="tx1"/>
            </w14:solidFill>
          </w14:textFill>
        </w:rPr>
        <w:t>财政部 税务总局 海关总署公告2019年第39号</w:t>
      </w:r>
      <w:r>
        <w:rPr>
          <w:rStyle w:val="12"/>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"http://www.shui5.cn/article/50/126363.html" </w:instrText>
      </w:r>
      <w:r>
        <w:rPr>
          <w:rFonts w:hint="eastAsia" w:ascii="宋体" w:hAnsi="宋体" w:eastAsia="宋体" w:cs="宋体"/>
          <w:sz w:val="24"/>
          <w:szCs w:val="24"/>
        </w:rPr>
        <w:fldChar w:fldCharType="separate"/>
      </w:r>
      <w:r>
        <w:rPr>
          <w:rStyle w:val="12"/>
          <w:rFonts w:hint="eastAsia" w:ascii="宋体" w:hAnsi="宋体" w:eastAsia="宋体" w:cs="宋体"/>
          <w:color w:val="000000" w:themeColor="text1"/>
          <w:sz w:val="24"/>
          <w:szCs w:val="24"/>
          <w14:textFill>
            <w14:solidFill>
              <w14:schemeClr w14:val="tx1"/>
            </w14:solidFill>
          </w14:textFill>
        </w:rPr>
        <w:t>第39号公告</w:t>
      </w:r>
      <w:r>
        <w:rPr>
          <w:rStyle w:val="12"/>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”），规定“自2019年4月1日至2021年12月31日，允许生产、生活性服务业纳税人按照当期可抵扣进项税额加计10%，抵减应纳税额”。现就该规定适用《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"http://www.shui5.cn/article/dc/109225.html" </w:instrText>
      </w:r>
      <w:r>
        <w:rPr>
          <w:rFonts w:hint="eastAsia" w:ascii="宋体" w:hAnsi="宋体" w:eastAsia="宋体" w:cs="宋体"/>
          <w:sz w:val="24"/>
          <w:szCs w:val="24"/>
        </w:rPr>
        <w:fldChar w:fldCharType="separate"/>
      </w:r>
      <w:r>
        <w:rPr>
          <w:rStyle w:val="12"/>
          <w:rFonts w:hint="eastAsia" w:ascii="宋体" w:hAnsi="宋体" w:eastAsia="宋体" w:cs="宋体"/>
          <w:color w:val="000000" w:themeColor="text1"/>
          <w:sz w:val="24"/>
          <w:szCs w:val="24"/>
          <w14:textFill>
            <w14:solidFill>
              <w14:schemeClr w14:val="tx1"/>
            </w14:solidFill>
          </w14:textFill>
        </w:rPr>
        <w:t>增值税会计处理规定</w:t>
      </w:r>
      <w:r>
        <w:rPr>
          <w:rStyle w:val="12"/>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"file:///E:\\学习\\税收\\2016年\\12月\\财会〔2016〕22号——关于印发《增值税会计处理规定》的通知.docx" </w:instrText>
      </w:r>
      <w:r>
        <w:rPr>
          <w:rFonts w:hint="eastAsia" w:ascii="宋体" w:hAnsi="宋体" w:eastAsia="宋体" w:cs="宋体"/>
          <w:sz w:val="24"/>
          <w:szCs w:val="24"/>
        </w:rPr>
        <w:fldChar w:fldCharType="separate"/>
      </w:r>
      <w:r>
        <w:rPr>
          <w:rStyle w:val="12"/>
          <w:rFonts w:hint="eastAsia" w:ascii="宋体" w:hAnsi="宋体" w:eastAsia="宋体" w:cs="宋体"/>
          <w:color w:val="000000" w:themeColor="text1"/>
          <w:sz w:val="24"/>
          <w:szCs w:val="24"/>
          <w14:textFill>
            <w14:solidFill>
              <w14:schemeClr w14:val="tx1"/>
            </w14:solidFill>
          </w14:textFill>
        </w:rPr>
        <w:t>财会〔2016〕22号</w:t>
      </w:r>
      <w:r>
        <w:rPr>
          <w:rStyle w:val="12"/>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）的有关问题解读如下：</w:t>
      </w:r>
    </w:p>
    <w:p w14:paraId="44ADB456">
      <w:pPr>
        <w:pStyle w:val="9"/>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生产、生活性服务业纳税人取得资产或接受劳务时，应当按照《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"http://www.shui5.cn/article/dc/109225.html" </w:instrText>
      </w:r>
      <w:r>
        <w:rPr>
          <w:rFonts w:hint="eastAsia" w:ascii="宋体" w:hAnsi="宋体" w:eastAsia="宋体" w:cs="宋体"/>
          <w:sz w:val="24"/>
          <w:szCs w:val="24"/>
        </w:rPr>
        <w:fldChar w:fldCharType="separate"/>
      </w:r>
      <w:r>
        <w:rPr>
          <w:rStyle w:val="12"/>
          <w:rFonts w:hint="eastAsia" w:ascii="宋体" w:hAnsi="宋体" w:eastAsia="宋体" w:cs="宋体"/>
          <w:color w:val="000000" w:themeColor="text1"/>
          <w:sz w:val="24"/>
          <w:szCs w:val="24"/>
          <w14:textFill>
            <w14:solidFill>
              <w14:schemeClr w14:val="tx1"/>
            </w14:solidFill>
          </w14:textFill>
        </w:rPr>
        <w:t>增值税会计处理规定</w:t>
      </w:r>
      <w:r>
        <w:rPr>
          <w:rStyle w:val="12"/>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》的相关规定对增值税相关业务进行会计处理；实际缴纳增值税时，按应纳税额借记“应交税费——未交增值税”等科目，按实际纳税金额贷记“银行存款”科目，按加计抵减的金额贷记“其他收益”科目。</w:t>
      </w:r>
    </w:p>
    <w:p w14:paraId="5529EDD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50" w:name="_Toc12895141"/>
      <w:r>
        <w:rPr>
          <w:rFonts w:hint="eastAsia" w:ascii="宋体" w:hAnsi="宋体" w:eastAsia="宋体" w:cs="宋体"/>
          <w:sz w:val="24"/>
          <w:szCs w:val="24"/>
          <w:lang w:val="en-US" w:eastAsia="zh-CN"/>
        </w:rPr>
        <w:t xml:space="preserve">13.2.8  </w:t>
      </w:r>
      <w:r>
        <w:rPr>
          <w:rFonts w:hint="eastAsia" w:ascii="宋体" w:hAnsi="宋体" w:eastAsia="宋体" w:cs="宋体"/>
          <w:sz w:val="24"/>
          <w:szCs w:val="24"/>
        </w:rPr>
        <w:t>增值税税控系统专用设备和技术维护费用抵减增值税额的账务处理</w:t>
      </w:r>
      <w:bookmarkEnd w:id="5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6100</w:t>
      </w:r>
    </w:p>
    <w:p w14:paraId="7BF7165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现行增值税制度规定，企业初次购买增值税税控系统专用设备支付的费用以及缴纳的技术维护费允许在增值税应纳税额中全额抵减的，按规定抵减的增值税应纳税额，借记“应交税费——应交增值税（减免税款）”科目（小规模纳税人应借记“应交税费——应交增值税”科目），贷记“管理费用”等科目。</w:t>
      </w:r>
    </w:p>
    <w:p w14:paraId="52B94CF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w:t>
      </w:r>
    </w:p>
    <w:p w14:paraId="4FF0858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51" w:name="_Toc12895142"/>
      <w:r>
        <w:rPr>
          <w:rFonts w:hint="eastAsia" w:ascii="宋体" w:hAnsi="宋体" w:eastAsia="宋体" w:cs="宋体"/>
          <w:sz w:val="24"/>
          <w:szCs w:val="24"/>
          <w:lang w:val="en-US" w:eastAsia="zh-CN"/>
        </w:rPr>
        <w:t xml:space="preserve">13.2.9  </w:t>
      </w:r>
      <w:r>
        <w:rPr>
          <w:rFonts w:hint="eastAsia" w:ascii="宋体" w:hAnsi="宋体" w:eastAsia="宋体" w:cs="宋体"/>
          <w:sz w:val="24"/>
          <w:szCs w:val="24"/>
        </w:rPr>
        <w:t>关于小微企业免征增值税的会计处理规定</w:t>
      </w:r>
      <w:bookmarkEnd w:id="51"/>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6110</w:t>
      </w:r>
    </w:p>
    <w:p w14:paraId="6407CA1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小微企业在取得销售收入时，应当按照税法的规定计算应交增值税，并确认为应交税费，在达到增值税制度规定的免征增值税条件时，将有关应交增值税转入当期损益。</w:t>
      </w:r>
    </w:p>
    <w:p w14:paraId="4E106BD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第二条第十款）</w:t>
      </w:r>
    </w:p>
    <w:p w14:paraId="20236B1B">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52" w:name="_Toc12895143"/>
      <w:r>
        <w:rPr>
          <w:rFonts w:hint="eastAsia" w:ascii="宋体" w:hAnsi="宋体" w:eastAsia="宋体" w:cs="宋体"/>
          <w:sz w:val="24"/>
          <w:szCs w:val="24"/>
          <w:lang w:val="en-US" w:eastAsia="zh-CN"/>
        </w:rPr>
        <w:t xml:space="preserve">13.2.10  </w:t>
      </w:r>
      <w:r>
        <w:rPr>
          <w:rFonts w:hint="eastAsia" w:ascii="宋体" w:hAnsi="宋体" w:eastAsia="宋体" w:cs="宋体"/>
          <w:sz w:val="24"/>
          <w:szCs w:val="24"/>
        </w:rPr>
        <w:t>交纳增值税的账务处理</w:t>
      </w:r>
      <w:bookmarkEnd w:id="5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6120</w:t>
      </w:r>
    </w:p>
    <w:p w14:paraId="7CB1F69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3" w:name="_Toc12895144"/>
      <w:r>
        <w:rPr>
          <w:rFonts w:hint="eastAsia" w:ascii="宋体" w:hAnsi="宋体" w:eastAsia="宋体" w:cs="宋体"/>
          <w:sz w:val="24"/>
          <w:szCs w:val="24"/>
          <w:lang w:val="en-US" w:eastAsia="zh-CN"/>
        </w:rPr>
        <w:t xml:space="preserve">13.2.10.1  </w:t>
      </w:r>
      <w:r>
        <w:rPr>
          <w:rFonts w:hint="eastAsia" w:ascii="宋体" w:hAnsi="宋体" w:eastAsia="宋体" w:cs="宋体"/>
          <w:sz w:val="24"/>
          <w:szCs w:val="24"/>
        </w:rPr>
        <w:t>交纳当月应交增值税的账务处理。</w:t>
      </w:r>
      <w:bookmarkEnd w:id="53"/>
    </w:p>
    <w:p w14:paraId="422CF12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企业交纳当月应交的增值税，借记“应交税费——应交增值税（已交税金）”科目（小规模纳税人应借记“应交税费——应交增值税”科目），贷记“银行存款”科目。</w:t>
      </w:r>
    </w:p>
    <w:p w14:paraId="538CE9B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第二条第七款第一项）</w:t>
      </w:r>
    </w:p>
    <w:p w14:paraId="336E1E3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4" w:name="_Toc12895145"/>
      <w:r>
        <w:rPr>
          <w:rFonts w:hint="eastAsia" w:ascii="宋体" w:hAnsi="宋体" w:eastAsia="宋体" w:cs="宋体"/>
          <w:sz w:val="24"/>
          <w:szCs w:val="24"/>
          <w:lang w:val="en-US" w:eastAsia="zh-CN"/>
        </w:rPr>
        <w:t xml:space="preserve">13.2.10.2  </w:t>
      </w:r>
      <w:r>
        <w:rPr>
          <w:rFonts w:hint="eastAsia" w:ascii="宋体" w:hAnsi="宋体" w:eastAsia="宋体" w:cs="宋体"/>
          <w:sz w:val="24"/>
          <w:szCs w:val="24"/>
        </w:rPr>
        <w:t>交纳以前期间未交增值税的账务处理。</w:t>
      </w:r>
      <w:bookmarkEnd w:id="54"/>
    </w:p>
    <w:p w14:paraId="302FA8B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企业交纳以前期间未交的增值税，借记“应交税费——未交增值税”科目，贷记“银行存款”科目。</w:t>
      </w:r>
    </w:p>
    <w:p w14:paraId="2E6AD21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第二条第七款第二项）</w:t>
      </w:r>
    </w:p>
    <w:p w14:paraId="002364C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5" w:name="_Toc12895146"/>
      <w:r>
        <w:rPr>
          <w:rFonts w:hint="eastAsia" w:ascii="宋体" w:hAnsi="宋体" w:eastAsia="宋体" w:cs="宋体"/>
          <w:sz w:val="24"/>
          <w:szCs w:val="24"/>
          <w:lang w:val="en-US" w:eastAsia="zh-CN"/>
        </w:rPr>
        <w:t xml:space="preserve">13.2.10.3  </w:t>
      </w:r>
      <w:r>
        <w:rPr>
          <w:rFonts w:hint="eastAsia" w:ascii="宋体" w:hAnsi="宋体" w:eastAsia="宋体" w:cs="宋体"/>
          <w:sz w:val="24"/>
          <w:szCs w:val="24"/>
        </w:rPr>
        <w:t>预缴增值税的账务处理。</w:t>
      </w:r>
      <w:bookmarkEnd w:id="55"/>
    </w:p>
    <w:p w14:paraId="17DFC85C">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13.2.10.3.1  </w:t>
      </w:r>
      <w:r>
        <w:rPr>
          <w:rFonts w:hint="eastAsia" w:ascii="宋体" w:hAnsi="宋体" w:eastAsia="宋体" w:cs="宋体"/>
          <w:sz w:val="24"/>
          <w:szCs w:val="24"/>
        </w:rPr>
        <w:t>企业预缴增值税时</w:t>
      </w:r>
    </w:p>
    <w:p w14:paraId="1D52F50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借记“应交税费——预交增值税”科目，贷记“银行存款”科目。</w:t>
      </w:r>
    </w:p>
    <w:p w14:paraId="66ECB3B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第二条第七款第三项）</w:t>
      </w:r>
    </w:p>
    <w:p w14:paraId="0425795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13.2.10.3.2  </w:t>
      </w:r>
      <w:r>
        <w:rPr>
          <w:rFonts w:hint="eastAsia" w:ascii="宋体" w:hAnsi="宋体" w:eastAsia="宋体" w:cs="宋体"/>
          <w:sz w:val="24"/>
          <w:szCs w:val="24"/>
        </w:rPr>
        <w:t>月末，</w:t>
      </w:r>
    </w:p>
    <w:p w14:paraId="582029B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企业应将“预交增值税”明细科目余额转入“未交增值税”明细科目，</w:t>
      </w:r>
    </w:p>
    <w:p w14:paraId="2512F01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借记“应交税费——未交增值税”科目，贷记“应交税费——预交增值税”科目。</w:t>
      </w:r>
    </w:p>
    <w:p w14:paraId="23E2397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第二条第七款第三项）</w:t>
      </w:r>
    </w:p>
    <w:p w14:paraId="4C643EE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6" w:name="_Toc12895147"/>
      <w:r>
        <w:rPr>
          <w:rFonts w:hint="eastAsia" w:ascii="宋体" w:hAnsi="宋体" w:eastAsia="宋体" w:cs="宋体"/>
          <w:sz w:val="24"/>
          <w:szCs w:val="24"/>
          <w:lang w:val="en-US" w:eastAsia="zh-CN"/>
        </w:rPr>
        <w:t xml:space="preserve">13.2.10.4  </w:t>
      </w:r>
      <w:r>
        <w:rPr>
          <w:rFonts w:hint="eastAsia" w:ascii="宋体" w:hAnsi="宋体" w:eastAsia="宋体" w:cs="宋体"/>
          <w:sz w:val="24"/>
          <w:szCs w:val="24"/>
        </w:rPr>
        <w:t>减免增值税的账务处理。</w:t>
      </w:r>
      <w:bookmarkEnd w:id="56"/>
    </w:p>
    <w:p w14:paraId="7B5E769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对于当期直接减免的增值税，借记“应交税金——应交增值税（减免税款）”科目，贷记损益类相关科目。</w:t>
      </w:r>
    </w:p>
    <w:p w14:paraId="6A3802C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第二条第七款第四项）</w:t>
      </w:r>
    </w:p>
    <w:p w14:paraId="7D7E8342">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57" w:name="_Toc12895148"/>
      <w:r>
        <w:rPr>
          <w:rFonts w:hint="eastAsia" w:ascii="宋体" w:hAnsi="宋体" w:eastAsia="宋体" w:cs="宋体"/>
          <w:sz w:val="24"/>
          <w:szCs w:val="24"/>
          <w:lang w:val="en-US" w:eastAsia="zh-CN"/>
        </w:rPr>
        <w:t xml:space="preserve">13.2.11  </w:t>
      </w:r>
      <w:r>
        <w:rPr>
          <w:rFonts w:hint="eastAsia" w:ascii="宋体" w:hAnsi="宋体" w:eastAsia="宋体" w:cs="宋体"/>
          <w:sz w:val="24"/>
          <w:szCs w:val="24"/>
        </w:rPr>
        <w:t>增值税期末留抵税额的账务处理</w:t>
      </w:r>
      <w:bookmarkEnd w:id="57"/>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6130</w:t>
      </w:r>
    </w:p>
    <w:p w14:paraId="4BA1B03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入营改增试点当月月初，原增值税一般纳税人应按不得从销售服务、无形资产或不动产的销项税额中抵扣的增值税留抵税额，借记“应交税费——增值税留抵税额”科目，贷记“应交税费——应交增值税（进项税额转出）”科目。待以后期间允许抵扣时，按允许抵扣的金额，借记“应交税费——应交增值税（进项税额）”科目，贷记“应交税费——增值税留抵税额”科目。</w:t>
      </w:r>
    </w:p>
    <w:p w14:paraId="6C32B0D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shd w:val="clear" w:color="auto" w:fill="FFFFFF"/>
        </w:rPr>
        <w:t>财会〔2016〕22号</w:t>
      </w:r>
      <w:r>
        <w:rPr>
          <w:rStyle w:val="12"/>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第二条第八款）</w:t>
      </w:r>
    </w:p>
    <w:p w14:paraId="1A4D186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期末留抵税额退税的处理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详见：</w:t>
      </w:r>
    </w:p>
    <w:p w14:paraId="687F4D70">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13.3  </w:t>
      </w:r>
      <w:r>
        <w:rPr>
          <w:rFonts w:hint="eastAsia" w:ascii="宋体" w:hAnsi="宋体" w:eastAsia="宋体" w:cs="宋体"/>
          <w:sz w:val="24"/>
          <w:szCs w:val="24"/>
        </w:rPr>
        <w:t>财务报表相关项目列示及附则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6140</w:t>
      </w:r>
    </w:p>
    <w:p w14:paraId="2F3F7D5E">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2" w:name="_GoBack"/>
      <w:bookmarkStart w:id="58" w:name="_Toc12895150"/>
      <w:r>
        <w:rPr>
          <w:rFonts w:hint="eastAsia" w:ascii="宋体" w:hAnsi="宋体" w:eastAsia="宋体" w:cs="宋体"/>
          <w:sz w:val="24"/>
          <w:szCs w:val="24"/>
          <w:lang w:val="en-US" w:eastAsia="zh-CN"/>
        </w:rPr>
        <w:t xml:space="preserve">13.3.1  </w:t>
      </w:r>
      <w:r>
        <w:rPr>
          <w:rFonts w:hint="eastAsia" w:ascii="宋体" w:hAnsi="宋体" w:eastAsia="宋体" w:cs="宋体"/>
          <w:sz w:val="24"/>
          <w:szCs w:val="24"/>
        </w:rPr>
        <w:t>“应交税费”科目下的“应交增值税”、“未交增值税”、“待抵扣进项税额”、“待认证进项税额”、“增值税留抵税额”等明细科目期末借方余额应根据情况</w:t>
      </w:r>
      <w:bookmarkEnd w:id="58"/>
    </w:p>
    <w:p w14:paraId="081A949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在资产负债表中的“其他流动资产”或“其他非流动资产”项目列示；</w:t>
      </w:r>
    </w:p>
    <w:p w14:paraId="23F3A9E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kern w:val="0"/>
          <w:sz w:val="24"/>
          <w:szCs w:val="24"/>
          <w:shd w:val="clear" w:color="auto" w:fill="FFFFFF"/>
        </w:rPr>
        <w:t>财会〔2016〕22号</w:t>
      </w:r>
      <w:r>
        <w:rPr>
          <w:rStyle w:val="12"/>
          <w:rFonts w:hint="eastAsia" w:ascii="宋体" w:hAnsi="宋体" w:eastAsia="宋体" w:cs="宋体"/>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7F70660D">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9" w:name="_Toc12895151"/>
      <w:r>
        <w:rPr>
          <w:rFonts w:hint="eastAsia" w:ascii="宋体" w:hAnsi="宋体" w:eastAsia="宋体" w:cs="宋体"/>
          <w:sz w:val="24"/>
          <w:szCs w:val="24"/>
          <w:lang w:val="en-US" w:eastAsia="zh-CN"/>
        </w:rPr>
        <w:t xml:space="preserve">13.3.2  </w:t>
      </w:r>
      <w:r>
        <w:rPr>
          <w:rFonts w:hint="eastAsia" w:ascii="宋体" w:hAnsi="宋体" w:eastAsia="宋体" w:cs="宋体"/>
          <w:sz w:val="24"/>
          <w:szCs w:val="24"/>
        </w:rPr>
        <w:t>“应交税费——待转销项税额”等科目期末贷方余额应根据情况，</w:t>
      </w:r>
      <w:bookmarkEnd w:id="59"/>
    </w:p>
    <w:p w14:paraId="295DF2B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在资产负债表中的“其他流动负债”或“其他非流动负债”项目列示；</w:t>
      </w:r>
    </w:p>
    <w:p w14:paraId="56E843D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kern w:val="0"/>
          <w:sz w:val="24"/>
          <w:szCs w:val="24"/>
          <w:shd w:val="clear" w:color="auto" w:fill="FFFFFF"/>
        </w:rPr>
        <w:t>财会〔2016〕22号</w:t>
      </w:r>
      <w:r>
        <w:rPr>
          <w:rStyle w:val="12"/>
          <w:rFonts w:hint="eastAsia" w:ascii="宋体" w:hAnsi="宋体" w:eastAsia="宋体" w:cs="宋体"/>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5E6EB828">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0" w:name="_Toc12895152"/>
      <w:r>
        <w:rPr>
          <w:rFonts w:hint="eastAsia" w:ascii="宋体" w:hAnsi="宋体" w:eastAsia="宋体" w:cs="宋体"/>
          <w:sz w:val="24"/>
          <w:szCs w:val="24"/>
          <w:lang w:val="en-US" w:eastAsia="zh-CN"/>
        </w:rPr>
        <w:t xml:space="preserve">13.3.3  </w:t>
      </w:r>
      <w:r>
        <w:rPr>
          <w:rFonts w:hint="eastAsia" w:ascii="宋体" w:hAnsi="宋体" w:eastAsia="宋体" w:cs="宋体"/>
          <w:sz w:val="24"/>
          <w:szCs w:val="24"/>
        </w:rPr>
        <w:t>“应交税费”科目下的“未交增值税”、“简易计税”、“转让金融商品应交增值税”、“代扣代交增值税”等科目期末贷方余额，</w:t>
      </w:r>
      <w:bookmarkEnd w:id="60"/>
    </w:p>
    <w:p w14:paraId="1F2AC0E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应在资产负债表中的“应交税费”项目列示。</w:t>
      </w:r>
    </w:p>
    <w:p w14:paraId="424ABB8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kern w:val="0"/>
          <w:sz w:val="24"/>
          <w:szCs w:val="24"/>
          <w:shd w:val="clear" w:color="auto" w:fill="FFFFFF"/>
        </w:rPr>
        <w:t>财会〔2016〕22号</w:t>
      </w:r>
      <w:r>
        <w:rPr>
          <w:rStyle w:val="12"/>
          <w:rFonts w:hint="eastAsia" w:ascii="宋体" w:hAnsi="宋体" w:eastAsia="宋体" w:cs="宋体"/>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0E4596AB">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1" w:name="_Toc12895153"/>
      <w:r>
        <w:rPr>
          <w:rFonts w:hint="eastAsia" w:ascii="宋体" w:hAnsi="宋体" w:eastAsia="宋体" w:cs="宋体"/>
          <w:sz w:val="24"/>
          <w:szCs w:val="24"/>
          <w:lang w:val="en-US" w:eastAsia="zh-CN"/>
        </w:rPr>
        <w:t xml:space="preserve">13.3.4  </w:t>
      </w:r>
      <w:r>
        <w:rPr>
          <w:rFonts w:hint="eastAsia" w:ascii="宋体" w:hAnsi="宋体" w:eastAsia="宋体" w:cs="宋体"/>
          <w:sz w:val="24"/>
          <w:szCs w:val="24"/>
        </w:rPr>
        <w:t>附  则</w:t>
      </w:r>
      <w:bookmarkEnd w:id="61"/>
    </w:p>
    <w:p w14:paraId="4F88608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本规定自发布之日起施行，国家统一的会计制度中相关规定与本规定不一致的，应按本规定执行。2016年5月1日至本规定施行之间发生的交易由于本规定而影响资产、负债等金额的，应按本规定调整。</w:t>
      </w:r>
      <w:r>
        <w:rPr>
          <w:rFonts w:hint="eastAsia" w:ascii="宋体" w:hAnsi="宋体" w:eastAsia="宋体" w:cs="宋体"/>
          <w:color w:val="333333"/>
          <w:sz w:val="24"/>
          <w:szCs w:val="24"/>
          <w:shd w:val="clear" w:color="auto" w:fill="FFFFFF"/>
        </w:rPr>
        <w:t>《营业税改征增值税试点有关企业会计处理规定》（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"http://ssfb86.com/index/News/detail/newsid/1522.html"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财会〔2012〕13号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）及《关于小微企业免征增值税和营业税的会计处理规定》（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财会〔2013〕24号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等原有关增值税会计处理的规定同时废止。</w:t>
      </w:r>
    </w:p>
    <w:p w14:paraId="32491A5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"http://ssfb86.com/index/News/detail/newsid/595.html" </w:instrText>
      </w:r>
      <w:r>
        <w:rPr>
          <w:rFonts w:hint="eastAsia" w:ascii="宋体" w:hAnsi="宋体" w:eastAsia="宋体" w:cs="宋体"/>
          <w:sz w:val="24"/>
          <w:szCs w:val="24"/>
        </w:rPr>
        <w:fldChar w:fldCharType="separate"/>
      </w:r>
      <w:r>
        <w:rPr>
          <w:rStyle w:val="12"/>
          <w:rFonts w:hint="eastAsia" w:ascii="宋体" w:hAnsi="宋体" w:eastAsia="宋体" w:cs="宋体"/>
          <w:kern w:val="0"/>
          <w:sz w:val="24"/>
          <w:szCs w:val="24"/>
          <w:shd w:val="clear" w:color="auto" w:fill="FFFFFF"/>
        </w:rPr>
        <w:t>财会〔2016〕22号</w:t>
      </w:r>
      <w:r>
        <w:rPr>
          <w:rStyle w:val="12"/>
          <w:rFonts w:hint="eastAsia" w:ascii="宋体" w:hAnsi="宋体" w:eastAsia="宋体" w:cs="宋体"/>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bookmarkEnd w:id="62"/>
    <w:p w14:paraId="698796A3">
      <w:pPr>
        <w:pStyle w:val="9"/>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p>
    <w:p w14:paraId="1064B46F">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87C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55BF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555BF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B7282"/>
    <w:rsid w:val="05E74BD8"/>
    <w:rsid w:val="0BA06B1E"/>
    <w:rsid w:val="14210574"/>
    <w:rsid w:val="2A145DA6"/>
    <w:rsid w:val="5E460009"/>
    <w:rsid w:val="60B4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styleId="12">
    <w:name w:val="Hyperlink"/>
    <w:basedOn w:val="11"/>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9048</Words>
  <Characters>10067</Characters>
  <Lines>0</Lines>
  <Paragraphs>0</Paragraphs>
  <TotalTime>21</TotalTime>
  <ScaleCrop>false</ScaleCrop>
  <LinksUpToDate>false</LinksUpToDate>
  <CharactersWithSpaces>10255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2025-01-17T06:12:00Z</dcterms:created>
  <dc:creator>tsuser</dc:creator>
  <cp:lastModifiedBy>tsuser</cp:lastModifiedBy>
  <dcterms:modified xsi:type="dcterms:W3CDTF">2025-01-22T01:37:31Z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D52950730B1D43CCB5186CA6A6DA9AE9_12</vt:lpwstr>
  </property>
</Properties>
</file>